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7556"/>
      </w:tblGrid>
      <w:tr w:rsidR="00B2713A" w:rsidRPr="00B2713A" w:rsidTr="00812A01">
        <w:trPr>
          <w:trHeight w:val="333"/>
          <w:jc w:val="center"/>
        </w:trPr>
        <w:tc>
          <w:tcPr>
            <w:tcW w:w="9729" w:type="dxa"/>
            <w:gridSpan w:val="2"/>
            <w:tcBorders>
              <w:top w:val="nil"/>
              <w:left w:val="nil"/>
              <w:bottom w:val="nil"/>
              <w:right w:val="nil"/>
            </w:tcBorders>
            <w:vAlign w:val="center"/>
          </w:tcPr>
          <w:p w:rsidR="00211E09" w:rsidRPr="00B2713A" w:rsidRDefault="00032CEE" w:rsidP="008C4C48">
            <w:pPr>
              <w:pStyle w:val="1"/>
              <w:spacing w:before="0" w:beforeAutospacing="0" w:after="0" w:afterAutospacing="0" w:line="240" w:lineRule="atLeast"/>
              <w:jc w:val="center"/>
              <w:rPr>
                <w:rFonts w:ascii="Arial" w:eastAsia="標楷體" w:hAnsi="Arial" w:cs="Arial"/>
                <w:sz w:val="36"/>
                <w:szCs w:val="36"/>
              </w:rPr>
            </w:pPr>
            <w:r w:rsidRPr="00B2713A">
              <w:rPr>
                <w:rFonts w:ascii="Arial" w:eastAsia="標楷體" w:hAnsi="Arial" w:cs="Arial"/>
                <w:sz w:val="36"/>
                <w:szCs w:val="36"/>
              </w:rPr>
              <w:t>Va</w:t>
            </w:r>
            <w:r w:rsidR="005E492A" w:rsidRPr="00B2713A">
              <w:rPr>
                <w:rFonts w:ascii="Arial" w:eastAsia="標楷體" w:hAnsi="Arial" w:cs="Arial"/>
                <w:sz w:val="36"/>
                <w:szCs w:val="36"/>
              </w:rPr>
              <w:t>ncomycin</w:t>
            </w:r>
            <w:r w:rsidR="002614E5" w:rsidRPr="00B2713A">
              <w:rPr>
                <w:rFonts w:ascii="Arial" w:eastAsia="標楷體" w:hAnsi="Arial" w:cs="Arial"/>
                <w:sz w:val="36"/>
                <w:szCs w:val="36"/>
              </w:rPr>
              <w:t>成分</w:t>
            </w:r>
            <w:r w:rsidR="008C4C48" w:rsidRPr="00B2713A">
              <w:rPr>
                <w:rFonts w:ascii="Arial" w:eastAsia="標楷體" w:hAnsi="Arial" w:cs="Arial"/>
                <w:sz w:val="36"/>
                <w:szCs w:val="36"/>
              </w:rPr>
              <w:t>注射劑</w:t>
            </w:r>
            <w:r w:rsidR="00C1197C" w:rsidRPr="00B2713A">
              <w:rPr>
                <w:rFonts w:ascii="Arial" w:eastAsia="標楷體" w:hAnsi="Arial" w:cs="Arial"/>
                <w:sz w:val="36"/>
                <w:szCs w:val="36"/>
              </w:rPr>
              <w:t>藥品</w:t>
            </w:r>
            <w:r w:rsidR="00B32C39" w:rsidRPr="00B2713A">
              <w:rPr>
                <w:rFonts w:ascii="Arial" w:eastAsia="標楷體" w:hAnsi="Arial" w:cs="Arial"/>
                <w:sz w:val="36"/>
                <w:szCs w:val="36"/>
              </w:rPr>
              <w:t>安全資訊風險溝通表</w:t>
            </w:r>
          </w:p>
        </w:tc>
      </w:tr>
      <w:tr w:rsidR="00B2713A" w:rsidRPr="00B2713A" w:rsidTr="00812A01">
        <w:trPr>
          <w:trHeight w:val="333"/>
          <w:jc w:val="center"/>
        </w:trPr>
        <w:tc>
          <w:tcPr>
            <w:tcW w:w="9729" w:type="dxa"/>
            <w:gridSpan w:val="2"/>
            <w:tcBorders>
              <w:top w:val="nil"/>
              <w:left w:val="nil"/>
              <w:right w:val="nil"/>
            </w:tcBorders>
            <w:vAlign w:val="center"/>
          </w:tcPr>
          <w:p w:rsidR="00211E09" w:rsidRPr="00B2713A" w:rsidRDefault="00211E09" w:rsidP="00EE73AF">
            <w:pPr>
              <w:pStyle w:val="1"/>
              <w:spacing w:before="0" w:beforeAutospacing="0" w:after="0" w:afterAutospacing="0" w:line="240" w:lineRule="atLeast"/>
              <w:jc w:val="right"/>
              <w:rPr>
                <w:rFonts w:ascii="Arial" w:eastAsia="標楷體" w:hAnsi="Arial" w:cs="Arial"/>
                <w:b w:val="0"/>
                <w:sz w:val="24"/>
                <w:szCs w:val="24"/>
              </w:rPr>
            </w:pPr>
            <w:r w:rsidRPr="00B2713A">
              <w:rPr>
                <w:rFonts w:ascii="Arial" w:eastAsia="標楷體" w:hAnsi="Arial" w:cs="Arial"/>
                <w:sz w:val="24"/>
                <w:szCs w:val="24"/>
              </w:rPr>
              <w:t xml:space="preserve">  </w:t>
            </w:r>
            <w:r w:rsidRPr="00B2713A">
              <w:rPr>
                <w:rFonts w:ascii="Arial" w:eastAsia="標楷體" w:hAnsi="Arial" w:cs="Arial"/>
                <w:b w:val="0"/>
                <w:sz w:val="24"/>
                <w:szCs w:val="24"/>
              </w:rPr>
              <w:t>日期：</w:t>
            </w:r>
            <w:r w:rsidR="002614E5" w:rsidRPr="00B2713A">
              <w:rPr>
                <w:rFonts w:ascii="Arial" w:eastAsia="標楷體" w:hAnsi="Arial" w:cs="Arial"/>
                <w:b w:val="0"/>
                <w:sz w:val="24"/>
                <w:szCs w:val="24"/>
              </w:rPr>
              <w:t>106/</w:t>
            </w:r>
            <w:r w:rsidR="0011604E" w:rsidRPr="00B2713A">
              <w:rPr>
                <w:rFonts w:ascii="Arial" w:eastAsia="標楷體" w:hAnsi="Arial" w:cs="Arial"/>
                <w:b w:val="0"/>
                <w:sz w:val="24"/>
                <w:szCs w:val="24"/>
              </w:rPr>
              <w:t>10</w:t>
            </w:r>
          </w:p>
        </w:tc>
      </w:tr>
      <w:tr w:rsidR="00B2713A" w:rsidRPr="00B2713A" w:rsidTr="00CD47ED">
        <w:trPr>
          <w:trHeight w:val="333"/>
          <w:jc w:val="center"/>
        </w:trPr>
        <w:tc>
          <w:tcPr>
            <w:tcW w:w="2173" w:type="dxa"/>
            <w:vAlign w:val="center"/>
          </w:tcPr>
          <w:p w:rsidR="00211E09" w:rsidRPr="00B2713A" w:rsidRDefault="00211E09" w:rsidP="009424B6">
            <w:pPr>
              <w:jc w:val="center"/>
              <w:rPr>
                <w:rFonts w:ascii="Arial" w:eastAsia="標楷體" w:hAnsi="Arial" w:cs="Arial"/>
                <w:szCs w:val="24"/>
              </w:rPr>
            </w:pPr>
            <w:r w:rsidRPr="00B2713A">
              <w:rPr>
                <w:rFonts w:ascii="Arial" w:eastAsia="標楷體" w:hAnsi="Arial" w:cs="Arial"/>
                <w:szCs w:val="24"/>
              </w:rPr>
              <w:t>藥品成分</w:t>
            </w:r>
          </w:p>
        </w:tc>
        <w:tc>
          <w:tcPr>
            <w:tcW w:w="7556" w:type="dxa"/>
          </w:tcPr>
          <w:p w:rsidR="00211E09" w:rsidRPr="00B2713A" w:rsidRDefault="004A4DAE" w:rsidP="00B424C0">
            <w:pPr>
              <w:pStyle w:val="1"/>
              <w:spacing w:before="0" w:beforeAutospacing="0" w:after="0" w:afterAutospacing="0"/>
              <w:jc w:val="both"/>
              <w:rPr>
                <w:rFonts w:ascii="Arial" w:eastAsia="標楷體" w:hAnsi="Arial" w:cs="Arial"/>
                <w:b w:val="0"/>
                <w:sz w:val="24"/>
                <w:szCs w:val="24"/>
              </w:rPr>
            </w:pPr>
            <w:r w:rsidRPr="00B2713A">
              <w:rPr>
                <w:rFonts w:ascii="Arial" w:eastAsia="標楷體" w:hAnsi="Arial" w:cs="Arial"/>
                <w:b w:val="0"/>
                <w:sz w:val="24"/>
                <w:szCs w:val="24"/>
              </w:rPr>
              <w:t>Va</w:t>
            </w:r>
            <w:r w:rsidR="008C4C48" w:rsidRPr="00B2713A">
              <w:rPr>
                <w:rFonts w:ascii="Arial" w:eastAsia="標楷體" w:hAnsi="Arial" w:cs="Arial"/>
                <w:b w:val="0"/>
                <w:sz w:val="24"/>
                <w:szCs w:val="24"/>
              </w:rPr>
              <w:t>ncomycin</w:t>
            </w:r>
          </w:p>
        </w:tc>
      </w:tr>
      <w:tr w:rsidR="00B2713A" w:rsidRPr="00B2713A" w:rsidTr="00CD47ED">
        <w:trPr>
          <w:trHeight w:val="333"/>
          <w:jc w:val="center"/>
        </w:trPr>
        <w:tc>
          <w:tcPr>
            <w:tcW w:w="2173" w:type="dxa"/>
            <w:vAlign w:val="center"/>
          </w:tcPr>
          <w:p w:rsidR="00211E09" w:rsidRPr="00B2713A" w:rsidRDefault="00211E09" w:rsidP="009424B6">
            <w:pPr>
              <w:jc w:val="center"/>
              <w:rPr>
                <w:rFonts w:ascii="Arial" w:eastAsia="標楷體" w:hAnsi="Arial" w:cs="Arial"/>
                <w:szCs w:val="24"/>
              </w:rPr>
            </w:pPr>
            <w:r w:rsidRPr="00B2713A">
              <w:rPr>
                <w:rFonts w:ascii="Arial" w:eastAsia="標楷體" w:hAnsi="Arial" w:cs="Arial"/>
                <w:szCs w:val="24"/>
              </w:rPr>
              <w:t>藥品名稱</w:t>
            </w:r>
          </w:p>
          <w:p w:rsidR="00211E09" w:rsidRPr="00B2713A" w:rsidRDefault="00211E09" w:rsidP="009424B6">
            <w:pPr>
              <w:jc w:val="center"/>
              <w:rPr>
                <w:rFonts w:ascii="Arial" w:eastAsia="標楷體" w:hAnsi="Arial" w:cs="Arial"/>
                <w:szCs w:val="24"/>
              </w:rPr>
            </w:pPr>
            <w:r w:rsidRPr="00B2713A">
              <w:rPr>
                <w:rFonts w:ascii="Arial" w:eastAsia="標楷體" w:hAnsi="Arial" w:cs="Arial"/>
                <w:szCs w:val="24"/>
              </w:rPr>
              <w:t>及許可證字號</w:t>
            </w:r>
          </w:p>
        </w:tc>
        <w:tc>
          <w:tcPr>
            <w:tcW w:w="7556" w:type="dxa"/>
          </w:tcPr>
          <w:p w:rsidR="00BF31DF" w:rsidRPr="00B2713A" w:rsidRDefault="002614E5" w:rsidP="00B2713A">
            <w:pPr>
              <w:pStyle w:val="1"/>
              <w:spacing w:before="0" w:beforeAutospacing="0" w:after="0" w:afterAutospacing="0"/>
              <w:jc w:val="both"/>
              <w:rPr>
                <w:rFonts w:ascii="Arial" w:eastAsia="標楷體" w:hAnsi="Arial" w:cs="Arial"/>
                <w:b w:val="0"/>
                <w:bCs w:val="0"/>
                <w:sz w:val="24"/>
                <w:szCs w:val="24"/>
              </w:rPr>
            </w:pPr>
            <w:r w:rsidRPr="00B2713A">
              <w:rPr>
                <w:rFonts w:ascii="Arial" w:eastAsia="標楷體" w:hAnsi="Arial" w:cs="Arial"/>
                <w:b w:val="0"/>
                <w:bCs w:val="0"/>
                <w:sz w:val="24"/>
                <w:szCs w:val="24"/>
              </w:rPr>
              <w:t>衛生福利部核准含</w:t>
            </w:r>
            <w:r w:rsidR="004A4DAE" w:rsidRPr="00B2713A">
              <w:rPr>
                <w:rFonts w:ascii="Arial" w:eastAsia="標楷體" w:hAnsi="Arial" w:cs="Arial"/>
                <w:b w:val="0"/>
                <w:sz w:val="24"/>
                <w:szCs w:val="24"/>
              </w:rPr>
              <w:t>va</w:t>
            </w:r>
            <w:r w:rsidR="008C4C48" w:rsidRPr="00B2713A">
              <w:rPr>
                <w:rFonts w:ascii="Arial" w:eastAsia="標楷體" w:hAnsi="Arial" w:cs="Arial"/>
                <w:b w:val="0"/>
                <w:sz w:val="24"/>
                <w:szCs w:val="24"/>
              </w:rPr>
              <w:t>ncomycin</w:t>
            </w:r>
            <w:r w:rsidR="002F6F44" w:rsidRPr="00B2713A">
              <w:rPr>
                <w:rFonts w:ascii="Arial" w:eastAsia="標楷體" w:hAnsi="Arial" w:cs="Arial"/>
                <w:b w:val="0"/>
                <w:sz w:val="24"/>
                <w:szCs w:val="24"/>
              </w:rPr>
              <w:t>成分注射劑</w:t>
            </w:r>
            <w:r w:rsidRPr="00B2713A">
              <w:rPr>
                <w:rFonts w:ascii="Arial" w:eastAsia="標楷體" w:hAnsi="Arial" w:cs="Arial"/>
                <w:b w:val="0"/>
                <w:sz w:val="24"/>
                <w:szCs w:val="24"/>
              </w:rPr>
              <w:t>藥品</w:t>
            </w:r>
            <w:r w:rsidRPr="00B2713A">
              <w:rPr>
                <w:rFonts w:ascii="Arial" w:eastAsia="標楷體" w:hAnsi="Arial" w:cs="Arial"/>
                <w:b w:val="0"/>
                <w:bCs w:val="0"/>
                <w:sz w:val="24"/>
                <w:szCs w:val="24"/>
              </w:rPr>
              <w:t>許</w:t>
            </w:r>
            <w:bookmarkStart w:id="0" w:name="_GoBack"/>
            <w:bookmarkEnd w:id="0"/>
            <w:r w:rsidRPr="00B2713A">
              <w:rPr>
                <w:rFonts w:ascii="Arial" w:eastAsia="標楷體" w:hAnsi="Arial" w:cs="Arial"/>
                <w:b w:val="0"/>
                <w:bCs w:val="0"/>
                <w:sz w:val="24"/>
                <w:szCs w:val="24"/>
              </w:rPr>
              <w:t>可證共</w:t>
            </w:r>
            <w:r w:rsidR="008C4C48" w:rsidRPr="00B2713A">
              <w:rPr>
                <w:rFonts w:ascii="Arial" w:eastAsia="標楷體" w:hAnsi="Arial" w:cs="Arial"/>
                <w:b w:val="0"/>
                <w:bCs w:val="0"/>
                <w:sz w:val="24"/>
                <w:szCs w:val="24"/>
              </w:rPr>
              <w:t>9</w:t>
            </w:r>
            <w:r w:rsidRPr="00B2713A">
              <w:rPr>
                <w:rFonts w:ascii="Arial" w:eastAsia="標楷體" w:hAnsi="Arial" w:cs="Arial"/>
                <w:b w:val="0"/>
                <w:bCs w:val="0"/>
                <w:sz w:val="24"/>
                <w:szCs w:val="24"/>
              </w:rPr>
              <w:t>張。查詢網址：</w:t>
            </w:r>
            <w:r w:rsidRPr="00B2713A">
              <w:rPr>
                <w:rFonts w:ascii="Arial" w:eastAsia="標楷體" w:hAnsi="Arial" w:cs="Arial"/>
                <w:b w:val="0"/>
                <w:bCs w:val="0"/>
                <w:sz w:val="24"/>
                <w:szCs w:val="24"/>
                <w:u w:val="single"/>
              </w:rPr>
              <w:t>http://www.fda.gov.tw/MLMS/H0001.aspx</w:t>
            </w:r>
          </w:p>
        </w:tc>
      </w:tr>
      <w:tr w:rsidR="00B2713A" w:rsidRPr="00B2713A" w:rsidTr="00CD47ED">
        <w:trPr>
          <w:trHeight w:val="333"/>
          <w:jc w:val="center"/>
        </w:trPr>
        <w:tc>
          <w:tcPr>
            <w:tcW w:w="2173" w:type="dxa"/>
            <w:vAlign w:val="center"/>
          </w:tcPr>
          <w:p w:rsidR="00211E09" w:rsidRPr="00B2713A" w:rsidRDefault="00211E09" w:rsidP="009424B6">
            <w:pPr>
              <w:jc w:val="center"/>
              <w:rPr>
                <w:rFonts w:ascii="Arial" w:eastAsia="標楷體" w:hAnsi="Arial" w:cs="Arial"/>
                <w:szCs w:val="24"/>
              </w:rPr>
            </w:pPr>
            <w:r w:rsidRPr="00B2713A">
              <w:rPr>
                <w:rFonts w:ascii="Arial" w:eastAsia="標楷體" w:hAnsi="Arial" w:cs="Arial"/>
                <w:szCs w:val="24"/>
              </w:rPr>
              <w:t>適應症</w:t>
            </w:r>
          </w:p>
        </w:tc>
        <w:tc>
          <w:tcPr>
            <w:tcW w:w="7556" w:type="dxa"/>
          </w:tcPr>
          <w:p w:rsidR="00E855E2" w:rsidRPr="00B2713A" w:rsidRDefault="008C4C48" w:rsidP="00B2713A">
            <w:pPr>
              <w:jc w:val="both"/>
              <w:rPr>
                <w:rFonts w:ascii="Arial" w:eastAsia="標楷體" w:hAnsi="Arial" w:cs="Arial"/>
                <w:szCs w:val="24"/>
              </w:rPr>
            </w:pPr>
            <w:r w:rsidRPr="00B2713A">
              <w:rPr>
                <w:rFonts w:ascii="Arial" w:eastAsia="標楷體" w:hAnsi="Arial" w:cs="Arial"/>
                <w:szCs w:val="24"/>
                <w:shd w:val="clear" w:color="auto" w:fill="FFFFFF"/>
              </w:rPr>
              <w:t>葡萄球菌感染所致之心內膜炎、骨髓炎、肺炎、敗血病、軟組織感染、腸炎、梭狀桿菌感染所致之假膜性結腸炎</w:t>
            </w:r>
            <w:r w:rsidR="003D24A0" w:rsidRPr="00B2713A">
              <w:rPr>
                <w:rFonts w:ascii="Arial" w:eastAsia="標楷體" w:hAnsi="Arial" w:cs="Arial"/>
                <w:szCs w:val="24"/>
                <w:shd w:val="clear" w:color="auto" w:fill="FFFFFF"/>
              </w:rPr>
              <w:t>。</w:t>
            </w:r>
          </w:p>
        </w:tc>
      </w:tr>
      <w:tr w:rsidR="00B2713A" w:rsidRPr="00B2713A" w:rsidTr="00CD47ED">
        <w:trPr>
          <w:jc w:val="center"/>
        </w:trPr>
        <w:tc>
          <w:tcPr>
            <w:tcW w:w="2173" w:type="dxa"/>
            <w:vAlign w:val="center"/>
          </w:tcPr>
          <w:p w:rsidR="00211E09" w:rsidRPr="00B2713A" w:rsidRDefault="00211E09" w:rsidP="009424B6">
            <w:pPr>
              <w:jc w:val="center"/>
              <w:rPr>
                <w:rFonts w:ascii="Arial" w:eastAsia="標楷體" w:hAnsi="Arial" w:cs="Arial"/>
                <w:szCs w:val="24"/>
              </w:rPr>
            </w:pPr>
            <w:r w:rsidRPr="00B2713A">
              <w:rPr>
                <w:rFonts w:ascii="Arial" w:eastAsia="標楷體" w:hAnsi="Arial" w:cs="Arial"/>
                <w:szCs w:val="24"/>
              </w:rPr>
              <w:t>藥理作用機轉</w:t>
            </w:r>
          </w:p>
        </w:tc>
        <w:tc>
          <w:tcPr>
            <w:tcW w:w="7556" w:type="dxa"/>
          </w:tcPr>
          <w:p w:rsidR="00C870E0" w:rsidRPr="00B2713A" w:rsidRDefault="000E438C" w:rsidP="00B2713A">
            <w:pPr>
              <w:autoSpaceDE w:val="0"/>
              <w:autoSpaceDN w:val="0"/>
              <w:adjustRightInd w:val="0"/>
              <w:jc w:val="both"/>
              <w:rPr>
                <w:rFonts w:ascii="Arial" w:eastAsia="標楷體" w:hAnsi="Arial" w:cs="Arial"/>
                <w:szCs w:val="24"/>
              </w:rPr>
            </w:pPr>
            <w:r w:rsidRPr="00B2713A">
              <w:rPr>
                <w:rFonts w:ascii="Arial" w:eastAsia="標楷體" w:hAnsi="Arial" w:cs="Arial"/>
                <w:szCs w:val="24"/>
              </w:rPr>
              <w:t>Vancomycin</w:t>
            </w:r>
            <w:r w:rsidR="008A5F1A" w:rsidRPr="00B2713A">
              <w:rPr>
                <w:rFonts w:ascii="Arial" w:eastAsia="標楷體" w:hAnsi="Arial" w:cs="Arial"/>
                <w:szCs w:val="24"/>
              </w:rPr>
              <w:t>殺菌的作用主要是抑制細菌細胞壁的合成。除此之外，</w:t>
            </w:r>
            <w:r w:rsidRPr="00B2713A">
              <w:rPr>
                <w:rFonts w:ascii="Arial" w:eastAsia="標楷體" w:hAnsi="Arial" w:cs="Arial"/>
                <w:szCs w:val="24"/>
              </w:rPr>
              <w:t>亦</w:t>
            </w:r>
            <w:r w:rsidR="008A5F1A" w:rsidRPr="00B2713A">
              <w:rPr>
                <w:rFonts w:ascii="Arial" w:eastAsia="標楷體" w:hAnsi="Arial" w:cs="Arial"/>
                <w:szCs w:val="24"/>
              </w:rPr>
              <w:t>可改變細菌細胞膜的通透性和核糖核酸的合成</w:t>
            </w:r>
            <w:r w:rsidRPr="00B2713A">
              <w:rPr>
                <w:rFonts w:ascii="Arial" w:eastAsia="標楷體" w:hAnsi="Arial" w:cs="Arial"/>
                <w:szCs w:val="24"/>
              </w:rPr>
              <w:t>，達到殺菌之效果</w:t>
            </w:r>
            <w:r w:rsidR="008A5F1A" w:rsidRPr="00B2713A">
              <w:rPr>
                <w:rFonts w:ascii="Arial" w:eastAsia="標楷體" w:hAnsi="Arial" w:cs="Arial"/>
                <w:szCs w:val="24"/>
              </w:rPr>
              <w:t>。</w:t>
            </w:r>
          </w:p>
        </w:tc>
      </w:tr>
      <w:tr w:rsidR="00B2713A" w:rsidRPr="00437BA8" w:rsidTr="00CD47ED">
        <w:trPr>
          <w:trHeight w:val="736"/>
          <w:jc w:val="center"/>
        </w:trPr>
        <w:tc>
          <w:tcPr>
            <w:tcW w:w="2173" w:type="dxa"/>
            <w:vAlign w:val="center"/>
          </w:tcPr>
          <w:p w:rsidR="00211E09" w:rsidRPr="00B2713A" w:rsidRDefault="00211E09" w:rsidP="009424B6">
            <w:pPr>
              <w:jc w:val="center"/>
              <w:rPr>
                <w:rFonts w:ascii="Arial" w:eastAsia="標楷體" w:hAnsi="Arial" w:cs="Arial"/>
                <w:szCs w:val="24"/>
              </w:rPr>
            </w:pPr>
            <w:r w:rsidRPr="00B2713A">
              <w:rPr>
                <w:rFonts w:ascii="Arial" w:eastAsia="標楷體" w:hAnsi="Arial" w:cs="Arial"/>
                <w:szCs w:val="24"/>
              </w:rPr>
              <w:t>訊息緣由</w:t>
            </w:r>
          </w:p>
        </w:tc>
        <w:tc>
          <w:tcPr>
            <w:tcW w:w="7556" w:type="dxa"/>
          </w:tcPr>
          <w:p w:rsidR="00B2713A" w:rsidRDefault="00A50D2C" w:rsidP="00B2713A">
            <w:pPr>
              <w:pStyle w:val="m-7415284666064861952m4114503897044411343gmail-msolistparagraph"/>
              <w:spacing w:before="0" w:beforeAutospacing="0" w:after="0" w:afterAutospacing="0"/>
              <w:jc w:val="both"/>
              <w:rPr>
                <w:rFonts w:ascii="Arial" w:eastAsia="標楷體" w:hAnsi="Arial" w:cs="Arial"/>
              </w:rPr>
            </w:pPr>
            <w:r w:rsidRPr="00B2713A">
              <w:rPr>
                <w:rFonts w:ascii="Arial" w:eastAsia="標楷體" w:hAnsi="Arial" w:cs="Arial"/>
              </w:rPr>
              <w:t>2017/10/3</w:t>
            </w:r>
            <w:r w:rsidR="00E872F4" w:rsidRPr="00B2713A">
              <w:rPr>
                <w:rFonts w:ascii="Arial" w:eastAsia="標楷體" w:hAnsi="Arial" w:cs="Arial"/>
              </w:rPr>
              <w:t>美國</w:t>
            </w:r>
            <w:r w:rsidR="00E872F4" w:rsidRPr="00B2713A">
              <w:rPr>
                <w:rFonts w:ascii="Arial" w:eastAsia="標楷體" w:hAnsi="Arial" w:cs="Arial"/>
              </w:rPr>
              <w:t>FDA</w:t>
            </w:r>
            <w:r w:rsidR="0065725D" w:rsidRPr="00B2713A">
              <w:rPr>
                <w:rFonts w:ascii="Arial" w:eastAsia="標楷體" w:hAnsi="Arial" w:cs="Arial"/>
              </w:rPr>
              <w:t>發布，</w:t>
            </w:r>
            <w:r w:rsidRPr="00B2713A">
              <w:rPr>
                <w:rFonts w:ascii="Arial" w:eastAsia="標楷體" w:hAnsi="Arial" w:cs="Arial"/>
              </w:rPr>
              <w:t>接獲</w:t>
            </w:r>
            <w:r w:rsidRPr="00B2713A">
              <w:rPr>
                <w:rFonts w:ascii="Arial" w:eastAsia="標楷體" w:hAnsi="Arial" w:cs="Arial"/>
              </w:rPr>
              <w:t>1</w:t>
            </w:r>
            <w:r w:rsidRPr="00B2713A">
              <w:rPr>
                <w:rFonts w:ascii="Arial" w:eastAsia="標楷體" w:hAnsi="Arial" w:cs="Arial"/>
              </w:rPr>
              <w:t>件白內障手術</w:t>
            </w:r>
            <w:r w:rsidR="00542A00">
              <w:rPr>
                <w:rFonts w:ascii="Arial" w:eastAsia="標楷體" w:hAnsi="Arial" w:cs="Arial" w:hint="eastAsia"/>
              </w:rPr>
              <w:t>結束時</w:t>
            </w:r>
            <w:r w:rsidRPr="00B2713A">
              <w:rPr>
                <w:rFonts w:ascii="Arial" w:eastAsia="標楷體" w:hAnsi="Arial" w:cs="Arial"/>
              </w:rPr>
              <w:t>於眼內注射</w:t>
            </w:r>
            <w:r w:rsidR="00ED1B87" w:rsidRPr="00B2713A">
              <w:rPr>
                <w:rFonts w:ascii="Arial" w:eastAsia="標楷體" w:hAnsi="Arial" w:cs="Arial"/>
              </w:rPr>
              <w:t>含</w:t>
            </w:r>
            <w:r w:rsidRPr="00B2713A">
              <w:rPr>
                <w:rFonts w:ascii="Arial" w:eastAsia="標楷體" w:hAnsi="Arial" w:cs="Arial"/>
              </w:rPr>
              <w:t>triamcinolone</w:t>
            </w:r>
            <w:r w:rsidRPr="00B2713A">
              <w:rPr>
                <w:rFonts w:ascii="Arial" w:eastAsia="標楷體" w:hAnsi="Arial" w:cs="Arial"/>
              </w:rPr>
              <w:t>、</w:t>
            </w:r>
            <w:r w:rsidRPr="00B2713A">
              <w:rPr>
                <w:rFonts w:ascii="Arial" w:eastAsia="標楷體" w:hAnsi="Arial" w:cs="Arial"/>
              </w:rPr>
              <w:t>moxifloxacin</w:t>
            </w:r>
            <w:r w:rsidRPr="00B2713A">
              <w:rPr>
                <w:rFonts w:ascii="Arial" w:eastAsia="標楷體" w:hAnsi="Arial" w:cs="Arial"/>
              </w:rPr>
              <w:t>及</w:t>
            </w:r>
            <w:r w:rsidRPr="00B2713A">
              <w:rPr>
                <w:rFonts w:ascii="Arial" w:eastAsia="標楷體" w:hAnsi="Arial" w:cs="Arial"/>
              </w:rPr>
              <w:t>vancomycin</w:t>
            </w:r>
            <w:r w:rsidR="00ED1B87" w:rsidRPr="00B2713A">
              <w:rPr>
                <w:rFonts w:ascii="Arial" w:eastAsia="標楷體" w:hAnsi="Arial" w:cs="Arial"/>
              </w:rPr>
              <w:t>成分</w:t>
            </w:r>
            <w:r w:rsidR="00BC3096" w:rsidRPr="00B2713A">
              <w:rPr>
                <w:rFonts w:ascii="Arial" w:eastAsia="標楷體" w:hAnsi="Arial" w:cs="Arial"/>
              </w:rPr>
              <w:t>調製</w:t>
            </w:r>
            <w:r w:rsidR="00ED1B87" w:rsidRPr="00B2713A">
              <w:rPr>
                <w:rFonts w:ascii="Arial" w:eastAsia="標楷體" w:hAnsi="Arial" w:cs="Arial"/>
              </w:rPr>
              <w:t>製劑</w:t>
            </w:r>
            <w:r w:rsidRPr="00B2713A">
              <w:rPr>
                <w:rFonts w:ascii="Arial" w:eastAsia="標楷體" w:hAnsi="Arial" w:cs="Arial"/>
              </w:rPr>
              <w:t>後，</w:t>
            </w:r>
            <w:r w:rsidR="00ED1B87" w:rsidRPr="00B2713A">
              <w:rPr>
                <w:rFonts w:ascii="Arial" w:eastAsia="標楷體" w:hAnsi="Arial" w:cs="Arial"/>
              </w:rPr>
              <w:t>發生</w:t>
            </w:r>
            <w:r w:rsidRPr="00B2713A">
              <w:rPr>
                <w:rFonts w:ascii="Arial" w:eastAsia="標楷體" w:hAnsi="Arial" w:cs="Arial"/>
              </w:rPr>
              <w:t>出血性阻塞性視網膜血管炎（</w:t>
            </w:r>
            <w:r w:rsidRPr="00B2713A">
              <w:rPr>
                <w:rFonts w:ascii="Arial" w:eastAsia="標楷體" w:hAnsi="Arial" w:cs="Arial"/>
              </w:rPr>
              <w:t>hemorrhagic occlusive retinal vasculitis</w:t>
            </w:r>
            <w:r w:rsidRPr="00B2713A">
              <w:rPr>
                <w:rFonts w:ascii="Arial" w:eastAsia="標楷體" w:hAnsi="Arial" w:cs="Arial"/>
              </w:rPr>
              <w:t>，</w:t>
            </w:r>
            <w:r w:rsidRPr="00B2713A">
              <w:rPr>
                <w:rFonts w:ascii="Arial" w:eastAsia="標楷體" w:hAnsi="Arial" w:cs="Arial"/>
              </w:rPr>
              <w:t>HORV</w:t>
            </w:r>
            <w:r w:rsidRPr="00B2713A">
              <w:rPr>
                <w:rFonts w:ascii="Arial" w:eastAsia="標楷體" w:hAnsi="Arial" w:cs="Arial"/>
              </w:rPr>
              <w:t>）之</w:t>
            </w:r>
            <w:r w:rsidR="00ED1B87" w:rsidRPr="00B2713A">
              <w:rPr>
                <w:rFonts w:ascii="Arial" w:eastAsia="標楷體" w:hAnsi="Arial" w:cs="Arial"/>
              </w:rPr>
              <w:t>通報案例</w:t>
            </w:r>
            <w:r w:rsidRPr="00B2713A">
              <w:rPr>
                <w:rFonts w:ascii="Arial" w:eastAsia="標楷體" w:hAnsi="Arial" w:cs="Arial"/>
              </w:rPr>
              <w:t>。</w:t>
            </w:r>
          </w:p>
          <w:p w:rsidR="00960C09" w:rsidRPr="00B2713A" w:rsidRDefault="00B2713A" w:rsidP="00437BA8">
            <w:pPr>
              <w:pStyle w:val="m-7415284666064861952m4114503897044411343gmail-msolistparagraph"/>
              <w:spacing w:before="0" w:beforeAutospacing="0" w:after="0" w:afterAutospacing="0"/>
              <w:rPr>
                <w:rFonts w:ascii="Arial" w:eastAsia="標楷體" w:hAnsi="Arial" w:cs="Arial"/>
              </w:rPr>
            </w:pPr>
            <w:r w:rsidRPr="00B2713A">
              <w:rPr>
                <w:rFonts w:ascii="Arial" w:eastAsia="標楷體" w:hAnsi="Arial" w:cs="Arial"/>
              </w:rPr>
              <w:t>網址：</w:t>
            </w:r>
            <w:r w:rsidR="00437BA8" w:rsidRPr="00437BA8">
              <w:rPr>
                <w:rFonts w:ascii="Arial" w:eastAsia="標楷體" w:hAnsi="Arial" w:cs="Arial"/>
              </w:rPr>
              <w:t xml:space="preserve"> </w:t>
            </w:r>
            <w:r w:rsidR="00E872F4" w:rsidRPr="00B2713A">
              <w:rPr>
                <w:rFonts w:ascii="Arial" w:eastAsia="標楷體" w:hAnsi="Arial" w:cs="Arial"/>
                <w:u w:val="single"/>
              </w:rPr>
              <w:t>https://www.fda.gov/Safety/MedWatch/SafetyInformation/SafetyAlertsforHumanMedicalProducts/ucm578743.htm</w:t>
            </w:r>
          </w:p>
        </w:tc>
      </w:tr>
      <w:tr w:rsidR="00B2713A" w:rsidRPr="00B2713A" w:rsidTr="00CD47ED">
        <w:trPr>
          <w:trHeight w:val="841"/>
          <w:jc w:val="center"/>
        </w:trPr>
        <w:tc>
          <w:tcPr>
            <w:tcW w:w="2173" w:type="dxa"/>
            <w:vAlign w:val="center"/>
          </w:tcPr>
          <w:p w:rsidR="00B2713A" w:rsidRPr="00B2713A" w:rsidRDefault="00B2713A" w:rsidP="00265936">
            <w:pPr>
              <w:jc w:val="center"/>
              <w:rPr>
                <w:rFonts w:ascii="Arial" w:eastAsia="標楷體" w:hAnsi="Arial" w:cs="Arial"/>
                <w:szCs w:val="24"/>
              </w:rPr>
            </w:pPr>
            <w:r w:rsidRPr="00B2713A">
              <w:rPr>
                <w:rFonts w:ascii="Arial" w:eastAsia="標楷體" w:hAnsi="Arial" w:cs="Arial"/>
                <w:szCs w:val="24"/>
              </w:rPr>
              <w:t>藥品安全有關資訊分析及描述</w:t>
            </w:r>
          </w:p>
        </w:tc>
        <w:tc>
          <w:tcPr>
            <w:tcW w:w="7556" w:type="dxa"/>
          </w:tcPr>
          <w:p w:rsidR="00B2713A" w:rsidRPr="00B2713A" w:rsidRDefault="00B2713A" w:rsidP="00B2713A">
            <w:pPr>
              <w:pStyle w:val="a9"/>
              <w:numPr>
                <w:ilvl w:val="0"/>
                <w:numId w:val="48"/>
              </w:numPr>
              <w:ind w:leftChars="0" w:left="317" w:hanging="283"/>
              <w:jc w:val="both"/>
              <w:rPr>
                <w:rFonts w:ascii="Arial" w:eastAsia="標楷體" w:hAnsi="Arial" w:cs="Arial"/>
                <w:szCs w:val="24"/>
              </w:rPr>
            </w:pPr>
            <w:r w:rsidRPr="00B2713A">
              <w:rPr>
                <w:rFonts w:ascii="Arial" w:eastAsia="標楷體" w:hAnsi="Arial" w:cs="Arial"/>
                <w:szCs w:val="24"/>
              </w:rPr>
              <w:t>美國</w:t>
            </w:r>
            <w:r w:rsidRPr="00B2713A">
              <w:rPr>
                <w:rFonts w:ascii="Arial" w:eastAsia="標楷體" w:hAnsi="Arial" w:cs="Arial"/>
                <w:szCs w:val="24"/>
              </w:rPr>
              <w:t>FDA</w:t>
            </w:r>
            <w:r w:rsidR="001517C2">
              <w:rPr>
                <w:rFonts w:ascii="Arial" w:eastAsia="標楷體" w:hAnsi="Arial" w:cs="Arial" w:hint="eastAsia"/>
                <w:szCs w:val="24"/>
              </w:rPr>
              <w:t>曾</w:t>
            </w:r>
            <w:r w:rsidRPr="00B2713A">
              <w:rPr>
                <w:rFonts w:ascii="Arial" w:eastAsia="標楷體" w:hAnsi="Arial" w:cs="Arial"/>
                <w:szCs w:val="24"/>
              </w:rPr>
              <w:t>接獲數</w:t>
            </w:r>
            <w:r w:rsidR="001517C2">
              <w:rPr>
                <w:rFonts w:ascii="Arial" w:eastAsia="標楷體" w:hAnsi="Arial" w:cs="Arial" w:hint="eastAsia"/>
                <w:szCs w:val="24"/>
              </w:rPr>
              <w:t>十</w:t>
            </w:r>
            <w:r w:rsidRPr="00B2713A">
              <w:rPr>
                <w:rFonts w:ascii="Arial" w:eastAsia="標楷體" w:hAnsi="Arial" w:cs="Arial"/>
                <w:szCs w:val="24"/>
              </w:rPr>
              <w:t>件白內障手術</w:t>
            </w:r>
            <w:r w:rsidR="00BC3096">
              <w:rPr>
                <w:rFonts w:ascii="Arial" w:eastAsia="標楷體" w:hAnsi="Arial" w:cs="Arial" w:hint="eastAsia"/>
              </w:rPr>
              <w:t>結束時</w:t>
            </w:r>
            <w:r w:rsidR="00BC3096" w:rsidRPr="00B2713A">
              <w:rPr>
                <w:rFonts w:ascii="Arial" w:eastAsia="標楷體" w:hAnsi="Arial" w:cs="Arial"/>
                <w:szCs w:val="24"/>
              </w:rPr>
              <w:t>於</w:t>
            </w:r>
            <w:r w:rsidRPr="00B2713A">
              <w:rPr>
                <w:rFonts w:ascii="Arial" w:eastAsia="標楷體" w:hAnsi="Arial" w:cs="Arial"/>
                <w:szCs w:val="24"/>
              </w:rPr>
              <w:t>眼內注射</w:t>
            </w:r>
            <w:r w:rsidR="001517C2">
              <w:rPr>
                <w:rFonts w:ascii="Arial" w:eastAsia="標楷體" w:hAnsi="Arial" w:cs="Arial" w:hint="eastAsia"/>
                <w:szCs w:val="24"/>
              </w:rPr>
              <w:t>含</w:t>
            </w:r>
            <w:r w:rsidRPr="00B2713A">
              <w:rPr>
                <w:rFonts w:ascii="Arial" w:eastAsia="標楷體" w:hAnsi="Arial" w:cs="Arial"/>
                <w:szCs w:val="24"/>
              </w:rPr>
              <w:t>vancomycin</w:t>
            </w:r>
            <w:r w:rsidR="001517C2" w:rsidRPr="00B2713A">
              <w:rPr>
                <w:rFonts w:ascii="Arial" w:eastAsia="標楷體" w:hAnsi="Arial" w:cs="Arial"/>
                <w:szCs w:val="24"/>
              </w:rPr>
              <w:t>成分注射劑藥品</w:t>
            </w:r>
            <w:r w:rsidRPr="00B2713A">
              <w:rPr>
                <w:rFonts w:ascii="Arial" w:eastAsia="標楷體" w:hAnsi="Arial" w:cs="Arial"/>
                <w:szCs w:val="24"/>
              </w:rPr>
              <w:t>後</w:t>
            </w:r>
            <w:r w:rsidR="001517C2">
              <w:rPr>
                <w:rFonts w:ascii="Arial" w:eastAsia="標楷體" w:hAnsi="Arial" w:cs="Arial" w:hint="eastAsia"/>
                <w:szCs w:val="24"/>
              </w:rPr>
              <w:t>，</w:t>
            </w:r>
            <w:r w:rsidRPr="00B2713A">
              <w:rPr>
                <w:rFonts w:ascii="Arial" w:eastAsia="標楷體" w:hAnsi="Arial" w:cs="Arial"/>
                <w:szCs w:val="24"/>
              </w:rPr>
              <w:t>發生出血性阻塞性視網膜血管炎（</w:t>
            </w:r>
            <w:r w:rsidRPr="00B2713A">
              <w:rPr>
                <w:rFonts w:ascii="Arial" w:eastAsia="標楷體" w:hAnsi="Arial" w:cs="Arial"/>
                <w:szCs w:val="24"/>
              </w:rPr>
              <w:t>hemorrhagic occlusive retinal vasculitis</w:t>
            </w:r>
            <w:r w:rsidRPr="00B2713A">
              <w:rPr>
                <w:rFonts w:ascii="Arial" w:eastAsia="標楷體" w:hAnsi="Arial" w:cs="Arial"/>
                <w:szCs w:val="24"/>
              </w:rPr>
              <w:t>，</w:t>
            </w:r>
            <w:r w:rsidRPr="00B2713A">
              <w:rPr>
                <w:rFonts w:ascii="Arial" w:eastAsia="標楷體" w:hAnsi="Arial" w:cs="Arial"/>
                <w:szCs w:val="24"/>
              </w:rPr>
              <w:t>HORV</w:t>
            </w:r>
            <w:r w:rsidRPr="00B2713A">
              <w:rPr>
                <w:rFonts w:ascii="Arial" w:eastAsia="標楷體" w:hAnsi="Arial" w:cs="Arial"/>
                <w:szCs w:val="24"/>
              </w:rPr>
              <w:t>）之通報案例。</w:t>
            </w:r>
          </w:p>
          <w:p w:rsidR="00B2713A" w:rsidRDefault="00B2713A" w:rsidP="00B2713A">
            <w:pPr>
              <w:pStyle w:val="a9"/>
              <w:numPr>
                <w:ilvl w:val="0"/>
                <w:numId w:val="48"/>
              </w:numPr>
              <w:ind w:leftChars="0" w:left="317" w:hanging="283"/>
              <w:jc w:val="both"/>
              <w:rPr>
                <w:rFonts w:ascii="Arial" w:eastAsia="標楷體" w:hAnsi="Arial" w:cs="Arial"/>
                <w:szCs w:val="24"/>
              </w:rPr>
            </w:pPr>
            <w:r w:rsidRPr="00B2713A">
              <w:rPr>
                <w:rFonts w:ascii="Arial" w:eastAsia="標楷體" w:hAnsi="Arial" w:cs="Arial"/>
                <w:szCs w:val="24"/>
              </w:rPr>
              <w:t>HORV</w:t>
            </w:r>
            <w:r w:rsidR="001517C2">
              <w:rPr>
                <w:rFonts w:ascii="Arial" w:eastAsia="標楷體" w:hAnsi="Arial" w:cs="Arial" w:hint="eastAsia"/>
                <w:szCs w:val="24"/>
              </w:rPr>
              <w:t>之</w:t>
            </w:r>
            <w:r w:rsidRPr="00B2713A">
              <w:rPr>
                <w:rFonts w:ascii="Arial" w:eastAsia="標楷體" w:hAnsi="Arial" w:cs="Arial"/>
                <w:szCs w:val="24"/>
              </w:rPr>
              <w:t>臨床症狀包括</w:t>
            </w:r>
            <w:r w:rsidR="001517C2">
              <w:rPr>
                <w:rFonts w:ascii="標楷體" w:eastAsia="標楷體" w:hAnsi="標楷體" w:cs="Arial" w:hint="eastAsia"/>
                <w:szCs w:val="24"/>
              </w:rPr>
              <w:t>：</w:t>
            </w:r>
            <w:r w:rsidRPr="00B2713A">
              <w:rPr>
                <w:rFonts w:ascii="Arial" w:eastAsia="標楷體" w:hAnsi="Arial" w:cs="Arial"/>
                <w:szCs w:val="24"/>
              </w:rPr>
              <w:t>延遲發作（可長達</w:t>
            </w:r>
            <w:r w:rsidRPr="00B2713A">
              <w:rPr>
                <w:rFonts w:ascii="Arial" w:eastAsia="標楷體" w:hAnsi="Arial" w:cs="Arial"/>
                <w:szCs w:val="24"/>
              </w:rPr>
              <w:t>3</w:t>
            </w:r>
            <w:r w:rsidRPr="00B2713A">
              <w:rPr>
                <w:rFonts w:ascii="Arial" w:eastAsia="標楷體" w:hAnsi="Arial" w:cs="Arial"/>
                <w:szCs w:val="24"/>
              </w:rPr>
              <w:t>週）的突發性無痛</w:t>
            </w:r>
            <w:r w:rsidR="00810603">
              <w:rPr>
                <w:rFonts w:ascii="Arial" w:eastAsia="標楷體" w:hAnsi="Arial" w:cs="Arial" w:hint="eastAsia"/>
                <w:szCs w:val="24"/>
              </w:rPr>
              <w:t>的</w:t>
            </w:r>
            <w:r w:rsidRPr="00B2713A">
              <w:rPr>
                <w:rFonts w:ascii="Arial" w:eastAsia="標楷體" w:hAnsi="Arial" w:cs="Arial"/>
                <w:szCs w:val="24"/>
              </w:rPr>
              <w:t>視力下降、眼內炎、視網膜內出血、視網膜血管炎、視網膜血管阻塞及視網膜缺血。如將</w:t>
            </w:r>
            <w:r w:rsidR="00810603" w:rsidRPr="00B2713A">
              <w:rPr>
                <w:rFonts w:ascii="Arial" w:eastAsia="標楷體" w:hAnsi="Arial" w:cs="Arial"/>
                <w:szCs w:val="24"/>
              </w:rPr>
              <w:t>含</w:t>
            </w:r>
            <w:r w:rsidR="00810603" w:rsidRPr="00B2713A">
              <w:rPr>
                <w:rFonts w:ascii="Arial" w:eastAsia="標楷體" w:hAnsi="Arial" w:cs="Arial"/>
                <w:szCs w:val="24"/>
              </w:rPr>
              <w:t>vancomycin</w:t>
            </w:r>
            <w:r w:rsidR="00810603" w:rsidRPr="00B2713A">
              <w:rPr>
                <w:rFonts w:ascii="Arial" w:eastAsia="標楷體" w:hAnsi="Arial" w:cs="Arial"/>
                <w:szCs w:val="24"/>
              </w:rPr>
              <w:t>成分注射劑藥品</w:t>
            </w:r>
            <w:r w:rsidR="0024288E">
              <w:rPr>
                <w:rFonts w:ascii="Arial" w:eastAsia="標楷體" w:hAnsi="Arial" w:cs="Arial" w:hint="eastAsia"/>
                <w:szCs w:val="24"/>
              </w:rPr>
              <w:t>以</w:t>
            </w:r>
            <w:r w:rsidR="00810603" w:rsidRPr="00B2713A">
              <w:rPr>
                <w:rFonts w:ascii="Arial" w:eastAsia="標楷體" w:hAnsi="Arial" w:cs="Arial"/>
                <w:szCs w:val="24"/>
              </w:rPr>
              <w:t>眼內注射</w:t>
            </w:r>
            <w:r w:rsidRPr="00B2713A">
              <w:rPr>
                <w:rFonts w:ascii="Arial" w:eastAsia="標楷體" w:hAnsi="Arial" w:cs="Arial"/>
                <w:szCs w:val="24"/>
              </w:rPr>
              <w:t>於雙</w:t>
            </w:r>
            <w:r w:rsidR="00810603">
              <w:rPr>
                <w:rFonts w:ascii="Arial" w:eastAsia="標楷體" w:hAnsi="Arial" w:cs="Arial" w:hint="eastAsia"/>
                <w:szCs w:val="24"/>
              </w:rPr>
              <w:t>眼</w:t>
            </w:r>
            <w:r w:rsidRPr="00B2713A">
              <w:rPr>
                <w:rFonts w:ascii="Arial" w:eastAsia="標楷體" w:hAnsi="Arial" w:cs="Arial"/>
                <w:szCs w:val="24"/>
              </w:rPr>
              <w:t>，可能</w:t>
            </w:r>
            <w:r w:rsidR="0024288E">
              <w:rPr>
                <w:rFonts w:ascii="Arial" w:eastAsia="標楷體" w:hAnsi="Arial" w:cs="Arial" w:hint="eastAsia"/>
                <w:szCs w:val="24"/>
              </w:rPr>
              <w:t>因</w:t>
            </w:r>
            <w:r w:rsidR="0024288E" w:rsidRPr="00B2713A">
              <w:rPr>
                <w:rFonts w:ascii="Arial" w:eastAsia="標楷體" w:hAnsi="Arial" w:cs="Arial"/>
                <w:szCs w:val="24"/>
              </w:rPr>
              <w:t>HORV</w:t>
            </w:r>
            <w:r w:rsidR="0024288E">
              <w:rPr>
                <w:rFonts w:ascii="Arial" w:eastAsia="標楷體" w:hAnsi="Arial" w:cs="Arial" w:hint="eastAsia"/>
                <w:szCs w:val="24"/>
              </w:rPr>
              <w:t>而</w:t>
            </w:r>
            <w:r w:rsidRPr="00B2713A">
              <w:rPr>
                <w:rFonts w:ascii="Arial" w:eastAsia="標楷體" w:hAnsi="Arial" w:cs="Arial"/>
                <w:szCs w:val="24"/>
              </w:rPr>
              <w:t>導致失明。</w:t>
            </w:r>
          </w:p>
          <w:p w:rsidR="001517C2" w:rsidRPr="00B2713A" w:rsidRDefault="001517C2" w:rsidP="00B2713A">
            <w:pPr>
              <w:pStyle w:val="a9"/>
              <w:numPr>
                <w:ilvl w:val="0"/>
                <w:numId w:val="48"/>
              </w:numPr>
              <w:ind w:leftChars="0" w:left="317" w:hanging="283"/>
              <w:jc w:val="both"/>
              <w:rPr>
                <w:rFonts w:ascii="Arial" w:eastAsia="標楷體" w:hAnsi="Arial" w:cs="Arial"/>
                <w:szCs w:val="24"/>
              </w:rPr>
            </w:pPr>
            <w:r w:rsidRPr="00B2713A">
              <w:rPr>
                <w:rFonts w:ascii="Arial" w:eastAsia="標楷體" w:hAnsi="Arial" w:cs="Arial"/>
                <w:szCs w:val="24"/>
              </w:rPr>
              <w:t>美國</w:t>
            </w:r>
            <w:r w:rsidRPr="00B2713A">
              <w:rPr>
                <w:rFonts w:ascii="Arial" w:eastAsia="標楷體" w:hAnsi="Arial" w:cs="Arial"/>
                <w:szCs w:val="24"/>
              </w:rPr>
              <w:t>FDA</w:t>
            </w:r>
            <w:r>
              <w:rPr>
                <w:rFonts w:ascii="Arial" w:eastAsia="標楷體" w:hAnsi="Arial" w:cs="Arial" w:hint="eastAsia"/>
                <w:szCs w:val="24"/>
              </w:rPr>
              <w:t>提醒，</w:t>
            </w:r>
            <w:r w:rsidRPr="00B2713A">
              <w:rPr>
                <w:rFonts w:ascii="Arial" w:eastAsia="標楷體" w:hAnsi="Arial" w:cs="Arial"/>
                <w:szCs w:val="24"/>
              </w:rPr>
              <w:t>許多眼科醫生會在白內障手術</w:t>
            </w:r>
            <w:r>
              <w:rPr>
                <w:rFonts w:ascii="Arial" w:eastAsia="標楷體" w:hAnsi="Arial" w:cs="Arial" w:hint="eastAsia"/>
                <w:szCs w:val="24"/>
              </w:rPr>
              <w:t>時</w:t>
            </w:r>
            <w:r w:rsidRPr="00B2713A">
              <w:rPr>
                <w:rFonts w:ascii="Arial" w:eastAsia="標楷體" w:hAnsi="Arial" w:cs="Arial"/>
                <w:szCs w:val="24"/>
              </w:rPr>
              <w:t>以眼內注射</w:t>
            </w:r>
            <w:r>
              <w:rPr>
                <w:rFonts w:ascii="Arial" w:eastAsia="標楷體" w:hAnsi="Arial" w:cs="Arial" w:hint="eastAsia"/>
                <w:szCs w:val="24"/>
              </w:rPr>
              <w:t>含</w:t>
            </w:r>
            <w:r w:rsidRPr="00B2713A">
              <w:rPr>
                <w:rFonts w:ascii="Arial" w:eastAsia="標楷體" w:hAnsi="Arial" w:cs="Arial"/>
                <w:szCs w:val="24"/>
              </w:rPr>
              <w:t>vancomycin</w:t>
            </w:r>
            <w:r w:rsidRPr="00B2713A">
              <w:rPr>
                <w:rFonts w:ascii="Arial" w:eastAsia="標楷體" w:hAnsi="Arial" w:cs="Arial"/>
                <w:szCs w:val="24"/>
              </w:rPr>
              <w:t>成分注射劑藥品</w:t>
            </w:r>
            <w:r>
              <w:rPr>
                <w:rFonts w:ascii="Arial" w:eastAsia="標楷體" w:hAnsi="Arial" w:cs="Arial" w:hint="eastAsia"/>
                <w:szCs w:val="24"/>
              </w:rPr>
              <w:t>來</w:t>
            </w:r>
            <w:r w:rsidRPr="00B2713A">
              <w:rPr>
                <w:rFonts w:ascii="Arial" w:eastAsia="標楷體" w:hAnsi="Arial" w:cs="Arial"/>
                <w:szCs w:val="24"/>
              </w:rPr>
              <w:t>預防術後眼內炎（</w:t>
            </w:r>
            <w:r w:rsidRPr="00B2713A">
              <w:rPr>
                <w:rFonts w:ascii="Arial" w:eastAsia="標楷體" w:hAnsi="Arial" w:cs="Arial"/>
                <w:szCs w:val="24"/>
              </w:rPr>
              <w:t>postoperative endophthalmitis</w:t>
            </w:r>
            <w:r w:rsidRPr="00B2713A">
              <w:rPr>
                <w:rFonts w:ascii="Arial" w:eastAsia="標楷體" w:hAnsi="Arial" w:cs="Arial"/>
                <w:szCs w:val="24"/>
              </w:rPr>
              <w:t>），</w:t>
            </w:r>
            <w:r w:rsidR="00810603">
              <w:rPr>
                <w:rFonts w:ascii="Arial" w:eastAsia="標楷體" w:hAnsi="Arial" w:cs="Arial" w:hint="eastAsia"/>
                <w:szCs w:val="24"/>
              </w:rPr>
              <w:t>惟</w:t>
            </w:r>
            <w:r w:rsidRPr="00B2713A">
              <w:rPr>
                <w:rFonts w:ascii="Arial" w:eastAsia="標楷體" w:hAnsi="Arial" w:cs="Arial"/>
                <w:szCs w:val="24"/>
              </w:rPr>
              <w:t>目前並</w:t>
            </w:r>
            <w:r w:rsidR="00810603">
              <w:rPr>
                <w:rFonts w:ascii="Arial" w:eastAsia="標楷體" w:hAnsi="Arial" w:cs="Arial" w:hint="eastAsia"/>
                <w:szCs w:val="24"/>
              </w:rPr>
              <w:t>無</w:t>
            </w:r>
            <w:r w:rsidRPr="00B2713A">
              <w:rPr>
                <w:rFonts w:ascii="Arial" w:eastAsia="標楷體" w:hAnsi="Arial" w:cs="Arial"/>
                <w:szCs w:val="24"/>
              </w:rPr>
              <w:t>充分的</w:t>
            </w:r>
            <w:r w:rsidR="00810603">
              <w:rPr>
                <w:rFonts w:ascii="Arial" w:eastAsia="標楷體" w:hAnsi="Arial" w:cs="Arial" w:hint="eastAsia"/>
                <w:szCs w:val="24"/>
              </w:rPr>
              <w:t>研究</w:t>
            </w:r>
            <w:r w:rsidRPr="00B2713A">
              <w:rPr>
                <w:rFonts w:ascii="Arial" w:eastAsia="標楷體" w:hAnsi="Arial" w:cs="Arial"/>
                <w:szCs w:val="24"/>
              </w:rPr>
              <w:t>證明</w:t>
            </w:r>
            <w:r w:rsidR="00810603">
              <w:rPr>
                <w:rFonts w:ascii="Arial" w:eastAsia="標楷體" w:hAnsi="Arial" w:cs="Arial" w:hint="eastAsia"/>
                <w:szCs w:val="24"/>
              </w:rPr>
              <w:t>該</w:t>
            </w:r>
            <w:r w:rsidRPr="00B2713A">
              <w:rPr>
                <w:rFonts w:ascii="Arial" w:eastAsia="標楷體" w:hAnsi="Arial" w:cs="Arial"/>
                <w:szCs w:val="24"/>
              </w:rPr>
              <w:t>用法之安全性及有效性，目前</w:t>
            </w:r>
            <w:r w:rsidR="00810603" w:rsidRPr="00B2713A">
              <w:rPr>
                <w:rFonts w:ascii="Arial" w:eastAsia="標楷體" w:hAnsi="Arial" w:cs="Arial"/>
                <w:szCs w:val="24"/>
              </w:rPr>
              <w:t>亦</w:t>
            </w:r>
            <w:r w:rsidR="00810603">
              <w:rPr>
                <w:rFonts w:ascii="Arial" w:eastAsia="標楷體" w:hAnsi="Arial" w:cs="Arial" w:hint="eastAsia"/>
                <w:szCs w:val="24"/>
              </w:rPr>
              <w:t>未</w:t>
            </w:r>
            <w:r w:rsidRPr="00B2713A">
              <w:rPr>
                <w:rFonts w:ascii="Arial" w:eastAsia="標楷體" w:hAnsi="Arial" w:cs="Arial"/>
                <w:szCs w:val="24"/>
              </w:rPr>
              <w:t>核准</w:t>
            </w:r>
            <w:r w:rsidR="00810603" w:rsidRPr="00B2713A">
              <w:rPr>
                <w:rFonts w:ascii="Arial" w:eastAsia="標楷體" w:hAnsi="Arial" w:cs="Arial"/>
                <w:szCs w:val="24"/>
              </w:rPr>
              <w:t>含</w:t>
            </w:r>
            <w:r w:rsidR="00810603" w:rsidRPr="00B2713A">
              <w:rPr>
                <w:rFonts w:ascii="Arial" w:eastAsia="標楷體" w:hAnsi="Arial" w:cs="Arial"/>
                <w:szCs w:val="24"/>
              </w:rPr>
              <w:t>vancomycin</w:t>
            </w:r>
            <w:r w:rsidR="00810603" w:rsidRPr="00B2713A">
              <w:rPr>
                <w:rFonts w:ascii="Arial" w:eastAsia="標楷體" w:hAnsi="Arial" w:cs="Arial"/>
                <w:szCs w:val="24"/>
              </w:rPr>
              <w:t>成分注射劑藥品</w:t>
            </w:r>
            <w:r w:rsidR="00810603">
              <w:rPr>
                <w:rFonts w:ascii="Arial" w:eastAsia="標楷體" w:hAnsi="Arial" w:cs="Arial" w:hint="eastAsia"/>
                <w:szCs w:val="24"/>
              </w:rPr>
              <w:t>用於</w:t>
            </w:r>
            <w:r w:rsidR="00810603" w:rsidRPr="00B2713A">
              <w:rPr>
                <w:rFonts w:ascii="Arial" w:eastAsia="標楷體" w:hAnsi="Arial" w:cs="Arial"/>
                <w:szCs w:val="24"/>
              </w:rPr>
              <w:t>眼內注射</w:t>
            </w:r>
            <w:r w:rsidRPr="00B2713A">
              <w:rPr>
                <w:rFonts w:ascii="Arial" w:eastAsia="標楷體" w:hAnsi="Arial" w:cs="Arial"/>
                <w:szCs w:val="24"/>
              </w:rPr>
              <w:t>。</w:t>
            </w:r>
          </w:p>
          <w:p w:rsidR="00B2713A" w:rsidRPr="00B2713A" w:rsidRDefault="00B2713A" w:rsidP="00341AF9">
            <w:pPr>
              <w:pStyle w:val="a9"/>
              <w:numPr>
                <w:ilvl w:val="0"/>
                <w:numId w:val="48"/>
              </w:numPr>
              <w:ind w:leftChars="0" w:left="317" w:hanging="283"/>
              <w:jc w:val="both"/>
              <w:rPr>
                <w:rFonts w:ascii="Arial" w:eastAsia="標楷體" w:hAnsi="Arial" w:cs="Arial"/>
                <w:szCs w:val="24"/>
              </w:rPr>
            </w:pPr>
            <w:r w:rsidRPr="00B2713A">
              <w:rPr>
                <w:rFonts w:ascii="Arial" w:eastAsia="標楷體" w:hAnsi="Arial" w:cs="Arial"/>
                <w:szCs w:val="24"/>
              </w:rPr>
              <w:t>美國</w:t>
            </w:r>
            <w:r w:rsidRPr="00B2713A">
              <w:rPr>
                <w:rFonts w:ascii="Arial" w:eastAsia="標楷體" w:hAnsi="Arial" w:cs="Arial"/>
                <w:szCs w:val="24"/>
              </w:rPr>
              <w:t>FDA</w:t>
            </w:r>
            <w:r w:rsidRPr="00B2713A">
              <w:rPr>
                <w:rFonts w:ascii="Arial" w:eastAsia="標楷體" w:hAnsi="Arial" w:cs="Arial"/>
                <w:szCs w:val="24"/>
              </w:rPr>
              <w:t>不建議</w:t>
            </w:r>
            <w:r w:rsidR="00810603" w:rsidRPr="00B2713A">
              <w:rPr>
                <w:rFonts w:ascii="Arial" w:eastAsia="標楷體" w:hAnsi="Arial" w:cs="Arial"/>
                <w:szCs w:val="24"/>
              </w:rPr>
              <w:t>含</w:t>
            </w:r>
            <w:r w:rsidR="00810603" w:rsidRPr="00B2713A">
              <w:rPr>
                <w:rFonts w:ascii="Arial" w:eastAsia="標楷體" w:hAnsi="Arial" w:cs="Arial"/>
                <w:szCs w:val="24"/>
              </w:rPr>
              <w:t>vancomycin</w:t>
            </w:r>
            <w:r w:rsidR="00810603" w:rsidRPr="00B2713A">
              <w:rPr>
                <w:rFonts w:ascii="Arial" w:eastAsia="標楷體" w:hAnsi="Arial" w:cs="Arial"/>
                <w:szCs w:val="24"/>
              </w:rPr>
              <w:t>成分注射劑藥品</w:t>
            </w:r>
            <w:r w:rsidRPr="00B2713A">
              <w:rPr>
                <w:rFonts w:ascii="Arial" w:eastAsia="標楷體" w:hAnsi="Arial" w:cs="Arial"/>
                <w:szCs w:val="24"/>
              </w:rPr>
              <w:t>單獨使用或混合其他藥物調製使用於眼內注射來預防白內障手術之術後眼內炎</w:t>
            </w:r>
            <w:r w:rsidR="00810603">
              <w:rPr>
                <w:rFonts w:ascii="Arial" w:eastAsia="標楷體" w:hAnsi="Arial" w:cs="Arial" w:hint="eastAsia"/>
                <w:szCs w:val="24"/>
              </w:rPr>
              <w:t>，且</w:t>
            </w:r>
            <w:r w:rsidRPr="00B2713A">
              <w:rPr>
                <w:rFonts w:ascii="Arial" w:eastAsia="標楷體" w:hAnsi="Arial" w:cs="Arial"/>
                <w:szCs w:val="24"/>
              </w:rPr>
              <w:t>已新增</w:t>
            </w:r>
            <w:r w:rsidRPr="00B2713A">
              <w:rPr>
                <w:rFonts w:ascii="Arial" w:eastAsia="標楷體" w:hAnsi="Arial" w:cs="Arial"/>
                <w:szCs w:val="24"/>
              </w:rPr>
              <w:t>HORV</w:t>
            </w:r>
            <w:r w:rsidR="00341AF9">
              <w:rPr>
                <w:rFonts w:ascii="Arial" w:eastAsia="標楷體" w:hAnsi="Arial" w:cs="Arial" w:hint="eastAsia"/>
                <w:szCs w:val="24"/>
              </w:rPr>
              <w:t>之</w:t>
            </w:r>
            <w:r w:rsidRPr="00B2713A">
              <w:rPr>
                <w:rFonts w:ascii="Arial" w:eastAsia="標楷體" w:hAnsi="Arial" w:cs="Arial"/>
                <w:szCs w:val="24"/>
              </w:rPr>
              <w:t>風險於</w:t>
            </w:r>
            <w:r w:rsidR="00341AF9" w:rsidRPr="00B2713A">
              <w:rPr>
                <w:rFonts w:ascii="Arial" w:eastAsia="標楷體" w:hAnsi="Arial" w:cs="Arial"/>
                <w:szCs w:val="24"/>
              </w:rPr>
              <w:t>含</w:t>
            </w:r>
            <w:r w:rsidR="00341AF9" w:rsidRPr="00B2713A">
              <w:rPr>
                <w:rFonts w:ascii="Arial" w:eastAsia="標楷體" w:hAnsi="Arial" w:cs="Arial"/>
                <w:szCs w:val="24"/>
              </w:rPr>
              <w:t>vancomycin</w:t>
            </w:r>
            <w:r w:rsidR="00341AF9" w:rsidRPr="00B2713A">
              <w:rPr>
                <w:rFonts w:ascii="Arial" w:eastAsia="標楷體" w:hAnsi="Arial" w:cs="Arial"/>
                <w:szCs w:val="24"/>
              </w:rPr>
              <w:t>成分注射劑藥品</w:t>
            </w:r>
            <w:r w:rsidRPr="00B2713A">
              <w:rPr>
                <w:rFonts w:ascii="Arial" w:eastAsia="標楷體" w:hAnsi="Arial" w:cs="Arial"/>
                <w:szCs w:val="24"/>
              </w:rPr>
              <w:t>仿單</w:t>
            </w:r>
            <w:r w:rsidR="00341AF9" w:rsidRPr="00B2713A">
              <w:rPr>
                <w:rFonts w:ascii="Arial" w:eastAsia="標楷體" w:hAnsi="Arial" w:cs="Arial"/>
                <w:szCs w:val="24"/>
              </w:rPr>
              <w:t>之</w:t>
            </w:r>
            <w:r w:rsidRPr="00B2713A">
              <w:rPr>
                <w:rFonts w:ascii="Arial" w:eastAsia="標楷體" w:hAnsi="Arial" w:cs="Arial"/>
                <w:szCs w:val="24"/>
              </w:rPr>
              <w:t>警語處。</w:t>
            </w:r>
          </w:p>
        </w:tc>
      </w:tr>
      <w:tr w:rsidR="00B2713A" w:rsidRPr="00B2713A" w:rsidTr="00CD47ED">
        <w:trPr>
          <w:trHeight w:val="841"/>
          <w:jc w:val="center"/>
        </w:trPr>
        <w:tc>
          <w:tcPr>
            <w:tcW w:w="2173" w:type="dxa"/>
            <w:vAlign w:val="center"/>
          </w:tcPr>
          <w:p w:rsidR="00B2713A" w:rsidRPr="00B2713A" w:rsidRDefault="00B2713A" w:rsidP="00265936">
            <w:pPr>
              <w:spacing w:line="400" w:lineRule="exact"/>
              <w:jc w:val="center"/>
              <w:rPr>
                <w:rFonts w:ascii="Arial" w:eastAsia="標楷體" w:hAnsi="Arial" w:cs="Arial"/>
                <w:szCs w:val="24"/>
              </w:rPr>
            </w:pPr>
            <w:r w:rsidRPr="00B2713A">
              <w:rPr>
                <w:rFonts w:ascii="Arial" w:eastAsia="標楷體" w:hAnsi="Arial" w:cs="Arial"/>
                <w:szCs w:val="24"/>
              </w:rPr>
              <w:br w:type="page"/>
            </w:r>
            <w:r w:rsidRPr="00B2713A">
              <w:rPr>
                <w:rFonts w:ascii="Arial" w:eastAsia="標楷體" w:hAnsi="Arial" w:cs="Arial"/>
                <w:szCs w:val="24"/>
              </w:rPr>
              <w:t>食品藥物管理署</w:t>
            </w:r>
          </w:p>
          <w:p w:rsidR="00B2713A" w:rsidRPr="00B2713A" w:rsidRDefault="00B2713A" w:rsidP="00265936">
            <w:pPr>
              <w:spacing w:line="400" w:lineRule="exact"/>
              <w:jc w:val="center"/>
              <w:rPr>
                <w:rFonts w:ascii="Arial" w:eastAsia="標楷體" w:hAnsi="Arial" w:cs="Arial"/>
                <w:szCs w:val="24"/>
              </w:rPr>
            </w:pPr>
            <w:r w:rsidRPr="00B2713A">
              <w:rPr>
                <w:rFonts w:ascii="Arial" w:eastAsia="標楷體" w:hAnsi="Arial" w:cs="Arial"/>
                <w:szCs w:val="24"/>
              </w:rPr>
              <w:t>風險溝通說明</w:t>
            </w:r>
          </w:p>
        </w:tc>
        <w:tc>
          <w:tcPr>
            <w:tcW w:w="7556" w:type="dxa"/>
          </w:tcPr>
          <w:p w:rsidR="00B2713A" w:rsidRPr="00B2713A" w:rsidRDefault="00B2713A" w:rsidP="00793E18">
            <w:pPr>
              <w:pStyle w:val="Web"/>
              <w:numPr>
                <w:ilvl w:val="0"/>
                <w:numId w:val="1"/>
              </w:numPr>
              <w:spacing w:beforeLines="50" w:before="180" w:beforeAutospacing="0" w:after="0" w:afterAutospacing="0"/>
              <w:ind w:hanging="357"/>
              <w:jc w:val="both"/>
              <w:rPr>
                <w:rFonts w:ascii="Arial" w:eastAsia="標楷體" w:hAnsi="Arial" w:cs="Arial"/>
                <w:b/>
              </w:rPr>
            </w:pPr>
            <w:r w:rsidRPr="00B2713A">
              <w:rPr>
                <w:rFonts w:ascii="Arial" w:eastAsia="標楷體" w:hAnsi="Arial" w:cs="Arial"/>
                <w:b/>
              </w:rPr>
              <w:t>食品藥物管理署說明：</w:t>
            </w:r>
          </w:p>
          <w:p w:rsidR="00B2713A" w:rsidRDefault="00B2713A" w:rsidP="005B5CD3">
            <w:pPr>
              <w:pStyle w:val="m-4432429833575846576m-9066279047794864691gmail-m4579433379537909631gmail-msolistparagraph"/>
              <w:numPr>
                <w:ilvl w:val="0"/>
                <w:numId w:val="49"/>
              </w:numPr>
              <w:shd w:val="clear" w:color="auto" w:fill="FFFFFF"/>
              <w:spacing w:before="0" w:beforeAutospacing="0" w:after="0" w:afterAutospacing="0"/>
              <w:ind w:leftChars="13" w:left="314" w:hangingChars="118" w:hanging="283"/>
              <w:jc w:val="both"/>
              <w:rPr>
                <w:rFonts w:ascii="Arial" w:eastAsia="標楷體" w:hAnsi="Arial" w:cs="Arial"/>
              </w:rPr>
            </w:pPr>
            <w:r w:rsidRPr="00B2713A">
              <w:rPr>
                <w:rFonts w:ascii="Arial" w:eastAsia="標楷體" w:hAnsi="Arial" w:cs="Arial"/>
              </w:rPr>
              <w:t>經查，我國核准</w:t>
            </w:r>
            <w:r w:rsidR="00AB1DEC" w:rsidRPr="00B2713A">
              <w:rPr>
                <w:rFonts w:ascii="Arial" w:eastAsia="標楷體" w:hAnsi="Arial" w:cs="Arial"/>
              </w:rPr>
              <w:t>含</w:t>
            </w:r>
            <w:r w:rsidR="00AB1DEC" w:rsidRPr="00B2713A">
              <w:rPr>
                <w:rFonts w:ascii="Arial" w:eastAsia="標楷體" w:hAnsi="Arial" w:cs="Arial"/>
              </w:rPr>
              <w:t>vancomycin</w:t>
            </w:r>
            <w:r w:rsidR="00AB1DEC" w:rsidRPr="00B2713A">
              <w:rPr>
                <w:rFonts w:ascii="Arial" w:eastAsia="標楷體" w:hAnsi="Arial" w:cs="Arial"/>
              </w:rPr>
              <w:t>成分注射劑藥品之</w:t>
            </w:r>
            <w:r w:rsidRPr="00B2713A">
              <w:rPr>
                <w:rFonts w:ascii="Arial" w:eastAsia="標楷體" w:hAnsi="Arial" w:cs="Arial"/>
              </w:rPr>
              <w:t>許可證共</w:t>
            </w:r>
            <w:r w:rsidR="00AB1DEC">
              <w:rPr>
                <w:rFonts w:ascii="Arial" w:eastAsia="標楷體" w:hAnsi="Arial" w:cs="Arial" w:hint="eastAsia"/>
              </w:rPr>
              <w:t>9</w:t>
            </w:r>
            <w:r w:rsidRPr="00B2713A">
              <w:rPr>
                <w:rFonts w:ascii="Arial" w:eastAsia="標楷體" w:hAnsi="Arial" w:cs="Arial"/>
              </w:rPr>
              <w:t>張，</w:t>
            </w:r>
            <w:r w:rsidR="00AB1DEC">
              <w:rPr>
                <w:rFonts w:ascii="標楷體" w:eastAsia="標楷體" w:hAnsi="標楷體" w:hint="eastAsia"/>
              </w:rPr>
              <w:t>均未核准用於眼內注射</w:t>
            </w:r>
            <w:r w:rsidR="00437BA8">
              <w:rPr>
                <w:rFonts w:ascii="標楷體" w:eastAsia="標楷體" w:hAnsi="標楷體" w:hint="eastAsia"/>
              </w:rPr>
              <w:t>，且中文仿單已刊載：</w:t>
            </w:r>
            <w:r w:rsidR="00437BA8" w:rsidRPr="00437BA8">
              <w:rPr>
                <w:rFonts w:ascii="Arial" w:eastAsia="標楷體" w:hAnsi="Arial" w:cs="Arial" w:hint="eastAsia"/>
              </w:rPr>
              <w:t>「玻璃體內注射不是泛可黴素核准的給藥途徑」</w:t>
            </w:r>
            <w:r w:rsidR="00C45364">
              <w:rPr>
                <w:rFonts w:ascii="Arial" w:eastAsia="標楷體" w:hAnsi="Arial" w:cs="Arial" w:hint="eastAsia"/>
              </w:rPr>
              <w:t>，惟未提及</w:t>
            </w:r>
            <w:r w:rsidR="00C45364" w:rsidRPr="00B2713A">
              <w:rPr>
                <w:rFonts w:ascii="Arial" w:eastAsia="標楷體" w:hAnsi="Arial" w:cs="Arial"/>
              </w:rPr>
              <w:t>HORV</w:t>
            </w:r>
            <w:r w:rsidR="00C45364">
              <w:rPr>
                <w:rFonts w:ascii="Arial" w:eastAsia="標楷體" w:hAnsi="Arial" w:cs="Arial" w:hint="eastAsia"/>
              </w:rPr>
              <w:t>之</w:t>
            </w:r>
            <w:r w:rsidR="00C45364" w:rsidRPr="00B2713A">
              <w:rPr>
                <w:rFonts w:ascii="Arial" w:eastAsia="標楷體" w:hAnsi="Arial" w:cs="Arial"/>
              </w:rPr>
              <w:t>風險</w:t>
            </w:r>
            <w:r w:rsidR="00437BA8" w:rsidRPr="00437BA8">
              <w:rPr>
                <w:rFonts w:ascii="Arial" w:eastAsia="標楷體" w:hAnsi="Arial" w:cs="Arial" w:hint="eastAsia"/>
              </w:rPr>
              <w:t>。</w:t>
            </w:r>
          </w:p>
          <w:p w:rsidR="005B5CD3" w:rsidRPr="00437BA8" w:rsidRDefault="005B5CD3" w:rsidP="005B5CD3">
            <w:pPr>
              <w:pStyle w:val="m-4432429833575846576m-9066279047794864691gmail-m4579433379537909631gmail-msolistparagraph"/>
              <w:numPr>
                <w:ilvl w:val="0"/>
                <w:numId w:val="49"/>
              </w:numPr>
              <w:shd w:val="clear" w:color="auto" w:fill="FFFFFF"/>
              <w:spacing w:before="0" w:beforeAutospacing="0" w:after="0" w:afterAutospacing="0"/>
              <w:ind w:leftChars="13" w:left="314" w:hangingChars="118" w:hanging="283"/>
              <w:jc w:val="both"/>
              <w:rPr>
                <w:rFonts w:ascii="Arial" w:eastAsia="標楷體" w:hAnsi="Arial" w:cs="Arial"/>
              </w:rPr>
            </w:pPr>
            <w:r>
              <w:rPr>
                <w:rFonts w:ascii="Arial" w:eastAsia="標楷體" w:hAnsi="Arial" w:cs="Arial" w:hint="eastAsia"/>
              </w:rPr>
              <w:t>針對</w:t>
            </w:r>
            <w:r w:rsidR="00920962">
              <w:rPr>
                <w:rFonts w:ascii="Arial" w:eastAsia="標楷體" w:hAnsi="Arial" w:cs="Arial" w:hint="eastAsia"/>
              </w:rPr>
              <w:t>該</w:t>
            </w:r>
            <w:r w:rsidRPr="00B2713A">
              <w:rPr>
                <w:rFonts w:ascii="Arial" w:eastAsia="標楷體" w:hAnsi="Arial" w:cs="Arial"/>
              </w:rPr>
              <w:t>HORV</w:t>
            </w:r>
            <w:r w:rsidRPr="00B2713A">
              <w:rPr>
                <w:rFonts w:ascii="Arial" w:eastAsia="標楷體" w:hAnsi="Arial" w:cs="Arial"/>
              </w:rPr>
              <w:t>風險</w:t>
            </w:r>
            <w:r w:rsidR="00920962">
              <w:rPr>
                <w:rFonts w:ascii="Arial" w:eastAsia="標楷體" w:hAnsi="Arial" w:cs="Arial" w:hint="eastAsia"/>
              </w:rPr>
              <w:t>適當之</w:t>
            </w:r>
            <w:r w:rsidR="00920962" w:rsidRPr="00B2713A">
              <w:rPr>
                <w:rFonts w:ascii="Arial" w:eastAsia="標楷體" w:hAnsi="Arial" w:cs="Arial"/>
              </w:rPr>
              <w:t>風險</w:t>
            </w:r>
            <w:r w:rsidR="00920962">
              <w:rPr>
                <w:rFonts w:ascii="Arial" w:eastAsia="標楷體" w:hAnsi="Arial" w:cs="Arial" w:hint="eastAsia"/>
              </w:rPr>
              <w:t>管控措施</w:t>
            </w:r>
            <w:r>
              <w:rPr>
                <w:rFonts w:ascii="Arial" w:eastAsia="標楷體" w:hAnsi="Arial" w:cs="Arial" w:hint="eastAsia"/>
              </w:rPr>
              <w:t>，本署現正</w:t>
            </w:r>
            <w:r w:rsidR="00920962">
              <w:rPr>
                <w:rFonts w:ascii="Arial" w:eastAsia="標楷體" w:hAnsi="Arial" w:cs="Arial" w:hint="eastAsia"/>
              </w:rPr>
              <w:t>研議</w:t>
            </w:r>
            <w:r>
              <w:rPr>
                <w:rFonts w:ascii="Arial" w:eastAsia="標楷體" w:hAnsi="Arial" w:cs="Arial" w:hint="eastAsia"/>
              </w:rPr>
              <w:t>中。</w:t>
            </w:r>
          </w:p>
          <w:p w:rsidR="00B2713A" w:rsidRPr="00B2713A" w:rsidRDefault="00B2713A" w:rsidP="00793E18">
            <w:pPr>
              <w:pStyle w:val="Web"/>
              <w:numPr>
                <w:ilvl w:val="0"/>
                <w:numId w:val="1"/>
              </w:numPr>
              <w:spacing w:beforeLines="50" w:before="180" w:beforeAutospacing="0" w:after="0" w:afterAutospacing="0"/>
              <w:ind w:hanging="357"/>
              <w:jc w:val="both"/>
              <w:rPr>
                <w:rFonts w:ascii="Arial" w:eastAsia="標楷體" w:hAnsi="Arial" w:cs="Arial"/>
                <w:b/>
              </w:rPr>
            </w:pPr>
            <w:r w:rsidRPr="00B2713A">
              <w:rPr>
                <w:rFonts w:ascii="Arial" w:eastAsia="標楷體" w:hAnsi="Arial" w:cs="Arial"/>
                <w:b/>
                <w:bCs/>
                <w:u w:val="single"/>
              </w:rPr>
              <w:t>醫療人員</w:t>
            </w:r>
            <w:r w:rsidRPr="00B2713A">
              <w:rPr>
                <w:rFonts w:ascii="Arial" w:eastAsia="標楷體" w:hAnsi="Arial" w:cs="Arial"/>
                <w:b/>
              </w:rPr>
              <w:t>應注意事項：</w:t>
            </w:r>
          </w:p>
          <w:p w:rsidR="00B2713A" w:rsidRPr="00B2713A" w:rsidRDefault="00920962" w:rsidP="00E96F6D">
            <w:pPr>
              <w:pStyle w:val="Web"/>
              <w:numPr>
                <w:ilvl w:val="1"/>
                <w:numId w:val="1"/>
              </w:numPr>
              <w:tabs>
                <w:tab w:val="clear" w:pos="1440"/>
              </w:tabs>
              <w:spacing w:before="0" w:beforeAutospacing="0" w:after="0" w:afterAutospacing="0"/>
              <w:ind w:leftChars="13" w:left="315" w:hanging="284"/>
              <w:jc w:val="both"/>
              <w:rPr>
                <w:rFonts w:ascii="Arial" w:eastAsia="標楷體" w:hAnsi="Arial" w:cs="Arial"/>
              </w:rPr>
            </w:pPr>
            <w:r w:rsidRPr="00B2713A">
              <w:rPr>
                <w:rFonts w:ascii="Arial" w:eastAsia="標楷體" w:hAnsi="Arial" w:cs="Arial"/>
              </w:rPr>
              <w:t>含</w:t>
            </w:r>
            <w:r w:rsidRPr="00B2713A">
              <w:rPr>
                <w:rFonts w:ascii="Arial" w:eastAsia="標楷體" w:hAnsi="Arial" w:cs="Arial"/>
              </w:rPr>
              <w:t>vancomycin</w:t>
            </w:r>
            <w:r w:rsidRPr="00B2713A">
              <w:rPr>
                <w:rFonts w:ascii="Arial" w:eastAsia="標楷體" w:hAnsi="Arial" w:cs="Arial"/>
              </w:rPr>
              <w:t>成分注射劑藥品</w:t>
            </w:r>
            <w:r>
              <w:rPr>
                <w:rFonts w:ascii="Arial" w:eastAsia="標楷體" w:hAnsi="Arial" w:cs="Arial" w:hint="eastAsia"/>
              </w:rPr>
              <w:t>並</w:t>
            </w:r>
            <w:r w:rsidRPr="00B2713A">
              <w:rPr>
                <w:rFonts w:ascii="Arial" w:eastAsia="標楷體" w:hAnsi="Arial" w:cs="Arial"/>
              </w:rPr>
              <w:t>未核准</w:t>
            </w:r>
            <w:r>
              <w:rPr>
                <w:rFonts w:ascii="標楷體" w:eastAsia="標楷體" w:hAnsi="標楷體" w:hint="eastAsia"/>
              </w:rPr>
              <w:t>用於眼內注射，亦</w:t>
            </w:r>
            <w:r w:rsidRPr="00B2713A">
              <w:rPr>
                <w:rFonts w:ascii="Arial" w:eastAsia="標楷體" w:hAnsi="Arial" w:cs="Arial"/>
              </w:rPr>
              <w:t>未核准用於預防</w:t>
            </w:r>
            <w:r>
              <w:rPr>
                <w:rFonts w:ascii="Arial" w:eastAsia="標楷體" w:hAnsi="Arial" w:cs="Arial"/>
              </w:rPr>
              <w:t>眼內炎</w:t>
            </w:r>
            <w:r>
              <w:rPr>
                <w:rFonts w:ascii="Arial" w:eastAsia="標楷體" w:hAnsi="Arial" w:cs="Arial" w:hint="eastAsia"/>
              </w:rPr>
              <w:t>，</w:t>
            </w:r>
            <w:r w:rsidR="00B2713A" w:rsidRPr="00B2713A">
              <w:rPr>
                <w:rFonts w:ascii="Arial" w:eastAsia="標楷體" w:hAnsi="Arial" w:cs="Arial"/>
              </w:rPr>
              <w:t>白內障手術期間或術後於眼前房內或玻璃體內注射</w:t>
            </w:r>
            <w:r w:rsidR="00437BA8" w:rsidRPr="00B2713A">
              <w:rPr>
                <w:rFonts w:ascii="Arial" w:eastAsia="標楷體" w:hAnsi="Arial" w:cs="Arial"/>
              </w:rPr>
              <w:t>含</w:t>
            </w:r>
            <w:r w:rsidR="00437BA8" w:rsidRPr="00B2713A">
              <w:rPr>
                <w:rFonts w:ascii="Arial" w:eastAsia="標楷體" w:hAnsi="Arial" w:cs="Arial"/>
              </w:rPr>
              <w:t>vancomycin</w:t>
            </w:r>
            <w:r w:rsidR="00437BA8" w:rsidRPr="00B2713A">
              <w:rPr>
                <w:rFonts w:ascii="Arial" w:eastAsia="標楷體" w:hAnsi="Arial" w:cs="Arial"/>
              </w:rPr>
              <w:t>成分注射劑藥品</w:t>
            </w:r>
            <w:r w:rsidR="00437BA8">
              <w:rPr>
                <w:rFonts w:ascii="Arial" w:eastAsia="標楷體" w:hAnsi="Arial" w:cs="Arial" w:hint="eastAsia"/>
              </w:rPr>
              <w:t>，</w:t>
            </w:r>
            <w:r w:rsidR="00B2713A" w:rsidRPr="00B2713A">
              <w:rPr>
                <w:rFonts w:ascii="Arial" w:eastAsia="標楷體" w:hAnsi="Arial" w:cs="Arial"/>
              </w:rPr>
              <w:t>可能引起罕見</w:t>
            </w:r>
            <w:r w:rsidR="00621E6A">
              <w:rPr>
                <w:rFonts w:ascii="Arial" w:eastAsia="標楷體" w:hAnsi="Arial" w:cs="Arial" w:hint="eastAsia"/>
              </w:rPr>
              <w:t>但</w:t>
            </w:r>
            <w:r w:rsidR="00B2713A" w:rsidRPr="00B2713A">
              <w:rPr>
                <w:rFonts w:ascii="Arial" w:eastAsia="標楷體" w:hAnsi="Arial" w:cs="Arial"/>
              </w:rPr>
              <w:t>可能造成永久性視力喪失的</w:t>
            </w:r>
            <w:r w:rsidR="00B2713A" w:rsidRPr="00B2713A">
              <w:rPr>
                <w:rFonts w:ascii="Arial" w:eastAsia="標楷體" w:hAnsi="Arial" w:cs="Arial"/>
              </w:rPr>
              <w:t>HORV</w:t>
            </w:r>
            <w:r w:rsidR="00B2713A" w:rsidRPr="00B2713A">
              <w:rPr>
                <w:rFonts w:ascii="Arial" w:eastAsia="標楷體" w:hAnsi="Arial" w:cs="Arial"/>
              </w:rPr>
              <w:t>。</w:t>
            </w:r>
          </w:p>
          <w:p w:rsidR="00B2713A" w:rsidRPr="00B2713A" w:rsidRDefault="00B2713A" w:rsidP="00E96F6D">
            <w:pPr>
              <w:pStyle w:val="Web"/>
              <w:numPr>
                <w:ilvl w:val="1"/>
                <w:numId w:val="1"/>
              </w:numPr>
              <w:tabs>
                <w:tab w:val="clear" w:pos="1440"/>
              </w:tabs>
              <w:spacing w:before="0" w:beforeAutospacing="0" w:after="0" w:afterAutospacing="0"/>
              <w:ind w:leftChars="13" w:left="315" w:hanging="284"/>
              <w:jc w:val="both"/>
              <w:rPr>
                <w:rFonts w:ascii="Arial" w:eastAsia="標楷體" w:hAnsi="Arial" w:cs="Arial"/>
              </w:rPr>
            </w:pPr>
            <w:r w:rsidRPr="00B2713A">
              <w:rPr>
                <w:rFonts w:ascii="Arial" w:eastAsia="標楷體" w:hAnsi="Arial" w:cs="Arial"/>
              </w:rPr>
              <w:t>目前並</w:t>
            </w:r>
            <w:r w:rsidR="00437BA8">
              <w:rPr>
                <w:rFonts w:ascii="Arial" w:eastAsia="標楷體" w:hAnsi="Arial" w:cs="Arial" w:hint="eastAsia"/>
              </w:rPr>
              <w:t>無</w:t>
            </w:r>
            <w:r w:rsidRPr="00B2713A">
              <w:rPr>
                <w:rFonts w:ascii="Arial" w:eastAsia="標楷體" w:hAnsi="Arial" w:cs="Arial"/>
              </w:rPr>
              <w:t>充分的研究證明於眼前房內或玻璃體內注射</w:t>
            </w:r>
            <w:r w:rsidR="00437BA8" w:rsidRPr="00B2713A">
              <w:rPr>
                <w:rFonts w:ascii="Arial" w:eastAsia="標楷體" w:hAnsi="Arial" w:cs="Arial"/>
              </w:rPr>
              <w:t>含</w:t>
            </w:r>
            <w:r w:rsidR="00437BA8" w:rsidRPr="00B2713A">
              <w:rPr>
                <w:rFonts w:ascii="Arial" w:eastAsia="標楷體" w:hAnsi="Arial" w:cs="Arial"/>
              </w:rPr>
              <w:t>vancomycin</w:t>
            </w:r>
            <w:r w:rsidR="00437BA8" w:rsidRPr="00B2713A">
              <w:rPr>
                <w:rFonts w:ascii="Arial" w:eastAsia="標楷體" w:hAnsi="Arial" w:cs="Arial"/>
              </w:rPr>
              <w:t>成分注射劑藥品</w:t>
            </w:r>
            <w:r w:rsidRPr="00B2713A">
              <w:rPr>
                <w:rFonts w:ascii="Arial" w:eastAsia="標楷體" w:hAnsi="Arial" w:cs="Arial"/>
              </w:rPr>
              <w:t>之安全性及</w:t>
            </w:r>
            <w:r w:rsidR="008224EF" w:rsidRPr="00B2713A">
              <w:rPr>
                <w:rFonts w:ascii="Arial" w:eastAsia="標楷體" w:hAnsi="Arial" w:cs="Arial"/>
              </w:rPr>
              <w:t>有效性</w:t>
            </w:r>
            <w:r w:rsidRPr="00B2713A">
              <w:rPr>
                <w:rFonts w:ascii="Arial" w:eastAsia="標楷體" w:hAnsi="Arial" w:cs="Arial"/>
              </w:rPr>
              <w:t>。</w:t>
            </w:r>
          </w:p>
          <w:p w:rsidR="00B2713A" w:rsidRPr="00B2713A" w:rsidRDefault="00B2713A" w:rsidP="00793E18">
            <w:pPr>
              <w:pStyle w:val="Web"/>
              <w:numPr>
                <w:ilvl w:val="0"/>
                <w:numId w:val="1"/>
              </w:numPr>
              <w:spacing w:beforeLines="50" w:before="180" w:beforeAutospacing="0" w:after="0" w:afterAutospacing="0"/>
              <w:ind w:hanging="357"/>
              <w:jc w:val="both"/>
              <w:rPr>
                <w:rFonts w:ascii="Arial" w:eastAsia="標楷體" w:hAnsi="Arial" w:cs="Arial"/>
              </w:rPr>
            </w:pPr>
            <w:r w:rsidRPr="00B2713A">
              <w:rPr>
                <w:rFonts w:ascii="Arial" w:eastAsia="標楷體" w:hAnsi="Arial" w:cs="Arial"/>
                <w:b/>
                <w:bCs/>
                <w:u w:val="single"/>
              </w:rPr>
              <w:t>病人</w:t>
            </w:r>
            <w:r w:rsidRPr="00B2713A">
              <w:rPr>
                <w:rFonts w:ascii="Arial" w:eastAsia="標楷體" w:hAnsi="Arial" w:cs="Arial"/>
                <w:b/>
              </w:rPr>
              <w:t>應注意事項</w:t>
            </w:r>
            <w:r w:rsidRPr="00B2713A">
              <w:rPr>
                <w:rFonts w:ascii="Arial" w:eastAsia="標楷體" w:hAnsi="Arial" w:cs="Arial"/>
              </w:rPr>
              <w:t>：</w:t>
            </w:r>
          </w:p>
          <w:p w:rsidR="00B2713A" w:rsidRPr="00B2713A" w:rsidRDefault="00B2713A" w:rsidP="00E96F6D">
            <w:pPr>
              <w:pStyle w:val="Web"/>
              <w:spacing w:before="0" w:beforeAutospacing="0" w:after="0" w:afterAutospacing="0"/>
              <w:ind w:firstLineChars="132" w:firstLine="317"/>
              <w:jc w:val="both"/>
              <w:rPr>
                <w:rFonts w:ascii="Arial" w:eastAsia="標楷體" w:hAnsi="Arial" w:cs="Arial"/>
              </w:rPr>
            </w:pPr>
            <w:r w:rsidRPr="00B2713A">
              <w:rPr>
                <w:rFonts w:ascii="Arial" w:eastAsia="標楷體" w:hAnsi="Arial" w:cs="Arial"/>
              </w:rPr>
              <w:t>如於白內障手術後發生眼睛不適，</w:t>
            </w:r>
            <w:r w:rsidR="00E96F6D" w:rsidRPr="00600807">
              <w:rPr>
                <w:rFonts w:ascii="Arial" w:eastAsia="標楷體" w:hAnsi="Arial" w:cs="Arial"/>
              </w:rPr>
              <w:t>應立即告知醫療人員或盡速就醫。</w:t>
            </w:r>
          </w:p>
          <w:p w:rsidR="00B2713A" w:rsidRPr="00B2713A" w:rsidRDefault="00B2713A" w:rsidP="00793E18">
            <w:pPr>
              <w:pStyle w:val="Web"/>
              <w:numPr>
                <w:ilvl w:val="0"/>
                <w:numId w:val="1"/>
              </w:numPr>
              <w:spacing w:beforeLines="50" w:before="180" w:beforeAutospacing="0" w:after="0" w:afterAutospacing="0"/>
              <w:ind w:hanging="357"/>
              <w:jc w:val="both"/>
              <w:rPr>
                <w:rFonts w:ascii="Arial" w:eastAsia="標楷體" w:hAnsi="Arial" w:cs="Arial"/>
              </w:rPr>
            </w:pPr>
            <w:r w:rsidRPr="00B2713A">
              <w:rPr>
                <w:rFonts w:ascii="Arial" w:eastAsia="標楷體" w:hAnsi="Arial" w:cs="Arial"/>
              </w:rPr>
              <w:t>醫療人員或病人懷疑因為使用（服用）藥品導致不良反應發生時，請立即通報給衛生福利部所建置之全國藥物不良反應通報中心，並副知所屬廠商，藥物不良反應通報專線</w:t>
            </w:r>
            <w:r w:rsidRPr="00B2713A">
              <w:rPr>
                <w:rFonts w:ascii="Arial" w:eastAsia="標楷體" w:hAnsi="Arial" w:cs="Arial"/>
              </w:rPr>
              <w:t>02-2396-0100</w:t>
            </w:r>
            <w:r w:rsidRPr="00B2713A">
              <w:rPr>
                <w:rFonts w:ascii="Arial" w:eastAsia="標楷體" w:hAnsi="Arial" w:cs="Arial"/>
              </w:rPr>
              <w:t>，網站：</w:t>
            </w:r>
            <w:hyperlink r:id="rId7" w:history="1">
              <w:r w:rsidRPr="00B2713A">
                <w:rPr>
                  <w:rStyle w:val="ab"/>
                  <w:rFonts w:ascii="Arial" w:eastAsia="標楷體" w:hAnsi="Arial" w:cs="Arial"/>
                  <w:color w:val="auto"/>
                </w:rPr>
                <w:t>https://adr.fda.gov.tw</w:t>
              </w:r>
            </w:hyperlink>
            <w:r w:rsidRPr="00B2713A">
              <w:rPr>
                <w:rFonts w:ascii="Arial" w:eastAsia="標楷體" w:hAnsi="Arial" w:cs="Arial"/>
              </w:rPr>
              <w:t>；衛生福利部食品藥物管理署獲知藥品安全訊息時，均會蒐集彙整相關資料進行評估，並對於新增之藥品風險採取對應之風險管控措施。</w:t>
            </w:r>
          </w:p>
        </w:tc>
      </w:tr>
    </w:tbl>
    <w:p w:rsidR="00CD47ED" w:rsidRPr="003B56BC" w:rsidRDefault="00CD47ED" w:rsidP="00CD47ED"/>
    <w:sectPr w:rsidR="00CD47ED" w:rsidRPr="003B56BC" w:rsidSect="005B5CD3">
      <w:pgSz w:w="11906" w:h="16838"/>
      <w:pgMar w:top="85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5FB" w:rsidRDefault="001B05FB" w:rsidP="003B56BC">
      <w:r>
        <w:separator/>
      </w:r>
    </w:p>
  </w:endnote>
  <w:endnote w:type="continuationSeparator" w:id="0">
    <w:p w:rsidR="001B05FB" w:rsidRDefault="001B05FB"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5FB" w:rsidRDefault="001B05FB" w:rsidP="003B56BC">
      <w:r>
        <w:separator/>
      </w:r>
    </w:p>
  </w:footnote>
  <w:footnote w:type="continuationSeparator" w:id="0">
    <w:p w:rsidR="001B05FB" w:rsidRDefault="001B05FB" w:rsidP="003B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665"/>
    <w:multiLevelType w:val="hybridMultilevel"/>
    <w:tmpl w:val="6FF8E6B4"/>
    <w:lvl w:ilvl="0" w:tplc="7A962CDA">
      <w:start w:val="99"/>
      <w:numFmt w:val="bullet"/>
      <w:lvlText w:val="◎"/>
      <w:lvlJc w:val="left"/>
      <w:pPr>
        <w:tabs>
          <w:tab w:val="num" w:pos="346"/>
        </w:tabs>
        <w:ind w:left="346" w:hanging="360"/>
      </w:pPr>
      <w:rPr>
        <w:rFonts w:ascii="標楷體" w:eastAsia="標楷體" w:hAnsi="標楷體" w:hint="eastAsia"/>
      </w:rPr>
    </w:lvl>
    <w:lvl w:ilvl="1" w:tplc="43465692">
      <w:start w:val="1"/>
      <w:numFmt w:val="decimal"/>
      <w:lvlText w:val="%2."/>
      <w:lvlJc w:val="left"/>
      <w:pPr>
        <w:tabs>
          <w:tab w:val="num" w:pos="1440"/>
        </w:tabs>
        <w:ind w:left="1440" w:hanging="360"/>
      </w:pPr>
      <w:rPr>
        <w:rFonts w:cs="Times New Roman"/>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2B33B12"/>
    <w:multiLevelType w:val="hybridMultilevel"/>
    <w:tmpl w:val="9F6808C2"/>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 w15:restartNumberingAfterBreak="0">
    <w:nsid w:val="04986353"/>
    <w:multiLevelType w:val="hybridMultilevel"/>
    <w:tmpl w:val="4DD42348"/>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345D2E"/>
    <w:multiLevelType w:val="hybridMultilevel"/>
    <w:tmpl w:val="0E785D7A"/>
    <w:lvl w:ilvl="0" w:tplc="E83257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0561D"/>
    <w:multiLevelType w:val="hybridMultilevel"/>
    <w:tmpl w:val="D86C454A"/>
    <w:lvl w:ilvl="0" w:tplc="0409000F">
      <w:start w:val="1"/>
      <w:numFmt w:val="decimal"/>
      <w:lvlText w:val="%1."/>
      <w:lvlJc w:val="left"/>
      <w:pPr>
        <w:ind w:left="946" w:hanging="480"/>
      </w:p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5" w15:restartNumberingAfterBreak="0">
    <w:nsid w:val="098012C2"/>
    <w:multiLevelType w:val="hybridMultilevel"/>
    <w:tmpl w:val="906C271E"/>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09EE1A3C"/>
    <w:multiLevelType w:val="hybridMultilevel"/>
    <w:tmpl w:val="6A722000"/>
    <w:lvl w:ilvl="0" w:tplc="0409000B">
      <w:start w:val="1"/>
      <w:numFmt w:val="bullet"/>
      <w:lvlText w:val=""/>
      <w:lvlJc w:val="left"/>
      <w:pPr>
        <w:ind w:left="1068" w:hanging="480"/>
      </w:pPr>
      <w:rPr>
        <w:rFonts w:ascii="Wingdings" w:hAnsi="Wingdings" w:hint="default"/>
      </w:rPr>
    </w:lvl>
    <w:lvl w:ilvl="1" w:tplc="04090003" w:tentative="1">
      <w:start w:val="1"/>
      <w:numFmt w:val="bullet"/>
      <w:lvlText w:val=""/>
      <w:lvlJc w:val="left"/>
      <w:pPr>
        <w:ind w:left="1548" w:hanging="480"/>
      </w:pPr>
      <w:rPr>
        <w:rFonts w:ascii="Wingdings" w:hAnsi="Wingdings" w:hint="default"/>
      </w:rPr>
    </w:lvl>
    <w:lvl w:ilvl="2" w:tplc="04090005" w:tentative="1">
      <w:start w:val="1"/>
      <w:numFmt w:val="bullet"/>
      <w:lvlText w:val=""/>
      <w:lvlJc w:val="left"/>
      <w:pPr>
        <w:ind w:left="2028" w:hanging="480"/>
      </w:pPr>
      <w:rPr>
        <w:rFonts w:ascii="Wingdings" w:hAnsi="Wingdings" w:hint="default"/>
      </w:rPr>
    </w:lvl>
    <w:lvl w:ilvl="3" w:tplc="04090001" w:tentative="1">
      <w:start w:val="1"/>
      <w:numFmt w:val="bullet"/>
      <w:lvlText w:val=""/>
      <w:lvlJc w:val="left"/>
      <w:pPr>
        <w:ind w:left="2508" w:hanging="480"/>
      </w:pPr>
      <w:rPr>
        <w:rFonts w:ascii="Wingdings" w:hAnsi="Wingdings" w:hint="default"/>
      </w:rPr>
    </w:lvl>
    <w:lvl w:ilvl="4" w:tplc="04090003" w:tentative="1">
      <w:start w:val="1"/>
      <w:numFmt w:val="bullet"/>
      <w:lvlText w:val=""/>
      <w:lvlJc w:val="left"/>
      <w:pPr>
        <w:ind w:left="2988" w:hanging="480"/>
      </w:pPr>
      <w:rPr>
        <w:rFonts w:ascii="Wingdings" w:hAnsi="Wingdings" w:hint="default"/>
      </w:rPr>
    </w:lvl>
    <w:lvl w:ilvl="5" w:tplc="04090005" w:tentative="1">
      <w:start w:val="1"/>
      <w:numFmt w:val="bullet"/>
      <w:lvlText w:val=""/>
      <w:lvlJc w:val="left"/>
      <w:pPr>
        <w:ind w:left="3468" w:hanging="480"/>
      </w:pPr>
      <w:rPr>
        <w:rFonts w:ascii="Wingdings" w:hAnsi="Wingdings" w:hint="default"/>
      </w:rPr>
    </w:lvl>
    <w:lvl w:ilvl="6" w:tplc="04090001" w:tentative="1">
      <w:start w:val="1"/>
      <w:numFmt w:val="bullet"/>
      <w:lvlText w:val=""/>
      <w:lvlJc w:val="left"/>
      <w:pPr>
        <w:ind w:left="3948" w:hanging="480"/>
      </w:pPr>
      <w:rPr>
        <w:rFonts w:ascii="Wingdings" w:hAnsi="Wingdings" w:hint="default"/>
      </w:rPr>
    </w:lvl>
    <w:lvl w:ilvl="7" w:tplc="04090003" w:tentative="1">
      <w:start w:val="1"/>
      <w:numFmt w:val="bullet"/>
      <w:lvlText w:val=""/>
      <w:lvlJc w:val="left"/>
      <w:pPr>
        <w:ind w:left="4428" w:hanging="480"/>
      </w:pPr>
      <w:rPr>
        <w:rFonts w:ascii="Wingdings" w:hAnsi="Wingdings" w:hint="default"/>
      </w:rPr>
    </w:lvl>
    <w:lvl w:ilvl="8" w:tplc="04090005" w:tentative="1">
      <w:start w:val="1"/>
      <w:numFmt w:val="bullet"/>
      <w:lvlText w:val=""/>
      <w:lvlJc w:val="left"/>
      <w:pPr>
        <w:ind w:left="4908" w:hanging="480"/>
      </w:pPr>
      <w:rPr>
        <w:rFonts w:ascii="Wingdings" w:hAnsi="Wingdings" w:hint="default"/>
      </w:rPr>
    </w:lvl>
  </w:abstractNum>
  <w:abstractNum w:abstractNumId="7" w15:restartNumberingAfterBreak="0">
    <w:nsid w:val="0A1A3AC6"/>
    <w:multiLevelType w:val="hybridMultilevel"/>
    <w:tmpl w:val="EDB851C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A981140"/>
    <w:multiLevelType w:val="hybridMultilevel"/>
    <w:tmpl w:val="BE9289F0"/>
    <w:lvl w:ilvl="0" w:tplc="52E0D30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EA0415"/>
    <w:multiLevelType w:val="hybridMultilevel"/>
    <w:tmpl w:val="8F342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00520E"/>
    <w:multiLevelType w:val="hybridMultilevel"/>
    <w:tmpl w:val="5F5E109E"/>
    <w:lvl w:ilvl="0" w:tplc="D89EE7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6C06DE5"/>
    <w:multiLevelType w:val="hybridMultilevel"/>
    <w:tmpl w:val="712C18FE"/>
    <w:lvl w:ilvl="0" w:tplc="63DAFAF4">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7223523"/>
    <w:multiLevelType w:val="hybridMultilevel"/>
    <w:tmpl w:val="7A36EA60"/>
    <w:lvl w:ilvl="0" w:tplc="2BBE83C2">
      <w:start w:val="1"/>
      <w:numFmt w:val="decimal"/>
      <w:lvlText w:val="%1."/>
      <w:lvlJc w:val="left"/>
      <w:pPr>
        <w:ind w:left="8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E0623D"/>
    <w:multiLevelType w:val="hybridMultilevel"/>
    <w:tmpl w:val="0838AB8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E7F12FD"/>
    <w:multiLevelType w:val="hybridMultilevel"/>
    <w:tmpl w:val="77603F70"/>
    <w:lvl w:ilvl="0" w:tplc="3CB41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802938"/>
    <w:multiLevelType w:val="hybridMultilevel"/>
    <w:tmpl w:val="7DC6740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E849D2"/>
    <w:multiLevelType w:val="hybridMultilevel"/>
    <w:tmpl w:val="A79EDC0E"/>
    <w:lvl w:ilvl="0" w:tplc="D89EE736">
      <w:start w:val="1"/>
      <w:numFmt w:val="decimal"/>
      <w:lvlText w:val="%1."/>
      <w:lvlJc w:val="left"/>
      <w:pPr>
        <w:ind w:left="826" w:hanging="480"/>
      </w:pPr>
      <w:rPr>
        <w:rFonts w:cs="Times New Roman" w:hint="eastAsia"/>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17" w15:restartNumberingAfterBreak="0">
    <w:nsid w:val="28D11746"/>
    <w:multiLevelType w:val="hybridMultilevel"/>
    <w:tmpl w:val="FE58004C"/>
    <w:lvl w:ilvl="0" w:tplc="43465692">
      <w:start w:val="1"/>
      <w:numFmt w:val="decimal"/>
      <w:lvlText w:val="%1."/>
      <w:lvlJc w:val="left"/>
      <w:pPr>
        <w:tabs>
          <w:tab w:val="num" w:pos="1440"/>
        </w:tabs>
        <w:ind w:left="1440" w:hanging="360"/>
      </w:pPr>
      <w:rPr>
        <w:rFonts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2F36F3"/>
    <w:multiLevelType w:val="hybridMultilevel"/>
    <w:tmpl w:val="6874B950"/>
    <w:lvl w:ilvl="0" w:tplc="0409000F">
      <w:start w:val="1"/>
      <w:numFmt w:val="decimal"/>
      <w:lvlText w:val="%1."/>
      <w:lvlJc w:val="left"/>
      <w:pPr>
        <w:ind w:left="826" w:hanging="480"/>
      </w:pPr>
      <w:rPr>
        <w:rFonts w:cs="Times New Roman"/>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19" w15:restartNumberingAfterBreak="0">
    <w:nsid w:val="2A1C3999"/>
    <w:multiLevelType w:val="hybridMultilevel"/>
    <w:tmpl w:val="C9A2E20C"/>
    <w:lvl w:ilvl="0" w:tplc="5164F0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E484CD9"/>
    <w:multiLevelType w:val="hybridMultilevel"/>
    <w:tmpl w:val="CC9860F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EF06171"/>
    <w:multiLevelType w:val="hybridMultilevel"/>
    <w:tmpl w:val="0082EE4A"/>
    <w:lvl w:ilvl="0" w:tplc="2BBE83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A63ADD"/>
    <w:multiLevelType w:val="hybridMultilevel"/>
    <w:tmpl w:val="ED9E8F82"/>
    <w:lvl w:ilvl="0" w:tplc="D89EE736">
      <w:start w:val="1"/>
      <w:numFmt w:val="decimal"/>
      <w:lvlText w:val="%1."/>
      <w:lvlJc w:val="left"/>
      <w:pPr>
        <w:ind w:left="826" w:hanging="480"/>
      </w:pPr>
      <w:rPr>
        <w:rFonts w:cs="Times New Roman" w:hint="eastAsia"/>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23" w15:restartNumberingAfterBreak="0">
    <w:nsid w:val="3B817CA0"/>
    <w:multiLevelType w:val="hybridMultilevel"/>
    <w:tmpl w:val="A192E4B8"/>
    <w:lvl w:ilvl="0" w:tplc="0409000F">
      <w:start w:val="1"/>
      <w:numFmt w:val="decimal"/>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4" w15:restartNumberingAfterBreak="0">
    <w:nsid w:val="405368BF"/>
    <w:multiLevelType w:val="hybridMultilevel"/>
    <w:tmpl w:val="440CE5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07A40F3"/>
    <w:multiLevelType w:val="hybridMultilevel"/>
    <w:tmpl w:val="DC346CDC"/>
    <w:lvl w:ilvl="0" w:tplc="E83257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784953"/>
    <w:multiLevelType w:val="hybridMultilevel"/>
    <w:tmpl w:val="839C65F2"/>
    <w:lvl w:ilvl="0" w:tplc="3CB41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EC6A4B"/>
    <w:multiLevelType w:val="hybridMultilevel"/>
    <w:tmpl w:val="04F0A722"/>
    <w:lvl w:ilvl="0" w:tplc="D89EE7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480B2163"/>
    <w:multiLevelType w:val="hybridMultilevel"/>
    <w:tmpl w:val="F47AB16A"/>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C22AE1"/>
    <w:multiLevelType w:val="hybridMultilevel"/>
    <w:tmpl w:val="6E52B17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4C981707"/>
    <w:multiLevelType w:val="hybridMultilevel"/>
    <w:tmpl w:val="D3A03C62"/>
    <w:lvl w:ilvl="0" w:tplc="DE560608">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6E9705B"/>
    <w:multiLevelType w:val="hybridMultilevel"/>
    <w:tmpl w:val="638AF91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A4A24FB"/>
    <w:multiLevelType w:val="hybridMultilevel"/>
    <w:tmpl w:val="FE12BE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B4705AB"/>
    <w:multiLevelType w:val="hybridMultilevel"/>
    <w:tmpl w:val="5CD858CA"/>
    <w:lvl w:ilvl="0" w:tplc="990E5D48">
      <w:start w:val="1"/>
      <w:numFmt w:val="decimal"/>
      <w:lvlText w:val="%1."/>
      <w:lvlJc w:val="left"/>
      <w:pPr>
        <w:ind w:left="826"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F330CE"/>
    <w:multiLevelType w:val="hybridMultilevel"/>
    <w:tmpl w:val="29DE7F68"/>
    <w:lvl w:ilvl="0" w:tplc="0409000B">
      <w:start w:val="1"/>
      <w:numFmt w:val="bullet"/>
      <w:lvlText w:val=""/>
      <w:lvlJc w:val="left"/>
      <w:pPr>
        <w:ind w:left="1426" w:hanging="480"/>
      </w:pPr>
      <w:rPr>
        <w:rFonts w:ascii="Wingdings" w:hAnsi="Wingdings" w:hint="default"/>
      </w:rPr>
    </w:lvl>
    <w:lvl w:ilvl="1" w:tplc="04090003" w:tentative="1">
      <w:start w:val="1"/>
      <w:numFmt w:val="bullet"/>
      <w:lvlText w:val=""/>
      <w:lvlJc w:val="left"/>
      <w:pPr>
        <w:ind w:left="1906" w:hanging="480"/>
      </w:pPr>
      <w:rPr>
        <w:rFonts w:ascii="Wingdings" w:hAnsi="Wingdings" w:hint="default"/>
      </w:rPr>
    </w:lvl>
    <w:lvl w:ilvl="2" w:tplc="04090005" w:tentative="1">
      <w:start w:val="1"/>
      <w:numFmt w:val="bullet"/>
      <w:lvlText w:val=""/>
      <w:lvlJc w:val="left"/>
      <w:pPr>
        <w:ind w:left="2386" w:hanging="480"/>
      </w:pPr>
      <w:rPr>
        <w:rFonts w:ascii="Wingdings" w:hAnsi="Wingdings" w:hint="default"/>
      </w:rPr>
    </w:lvl>
    <w:lvl w:ilvl="3" w:tplc="04090001" w:tentative="1">
      <w:start w:val="1"/>
      <w:numFmt w:val="bullet"/>
      <w:lvlText w:val=""/>
      <w:lvlJc w:val="left"/>
      <w:pPr>
        <w:ind w:left="2866" w:hanging="480"/>
      </w:pPr>
      <w:rPr>
        <w:rFonts w:ascii="Wingdings" w:hAnsi="Wingdings" w:hint="default"/>
      </w:rPr>
    </w:lvl>
    <w:lvl w:ilvl="4" w:tplc="04090003" w:tentative="1">
      <w:start w:val="1"/>
      <w:numFmt w:val="bullet"/>
      <w:lvlText w:val=""/>
      <w:lvlJc w:val="left"/>
      <w:pPr>
        <w:ind w:left="3346" w:hanging="480"/>
      </w:pPr>
      <w:rPr>
        <w:rFonts w:ascii="Wingdings" w:hAnsi="Wingdings" w:hint="default"/>
      </w:rPr>
    </w:lvl>
    <w:lvl w:ilvl="5" w:tplc="04090005" w:tentative="1">
      <w:start w:val="1"/>
      <w:numFmt w:val="bullet"/>
      <w:lvlText w:val=""/>
      <w:lvlJc w:val="left"/>
      <w:pPr>
        <w:ind w:left="3826" w:hanging="480"/>
      </w:pPr>
      <w:rPr>
        <w:rFonts w:ascii="Wingdings" w:hAnsi="Wingdings" w:hint="default"/>
      </w:rPr>
    </w:lvl>
    <w:lvl w:ilvl="6" w:tplc="04090001" w:tentative="1">
      <w:start w:val="1"/>
      <w:numFmt w:val="bullet"/>
      <w:lvlText w:val=""/>
      <w:lvlJc w:val="left"/>
      <w:pPr>
        <w:ind w:left="4306" w:hanging="480"/>
      </w:pPr>
      <w:rPr>
        <w:rFonts w:ascii="Wingdings" w:hAnsi="Wingdings" w:hint="default"/>
      </w:rPr>
    </w:lvl>
    <w:lvl w:ilvl="7" w:tplc="04090003" w:tentative="1">
      <w:start w:val="1"/>
      <w:numFmt w:val="bullet"/>
      <w:lvlText w:val=""/>
      <w:lvlJc w:val="left"/>
      <w:pPr>
        <w:ind w:left="4786" w:hanging="480"/>
      </w:pPr>
      <w:rPr>
        <w:rFonts w:ascii="Wingdings" w:hAnsi="Wingdings" w:hint="default"/>
      </w:rPr>
    </w:lvl>
    <w:lvl w:ilvl="8" w:tplc="04090005" w:tentative="1">
      <w:start w:val="1"/>
      <w:numFmt w:val="bullet"/>
      <w:lvlText w:val=""/>
      <w:lvlJc w:val="left"/>
      <w:pPr>
        <w:ind w:left="5266" w:hanging="480"/>
      </w:pPr>
      <w:rPr>
        <w:rFonts w:ascii="Wingdings" w:hAnsi="Wingdings" w:hint="default"/>
      </w:rPr>
    </w:lvl>
  </w:abstractNum>
  <w:abstractNum w:abstractNumId="35" w15:restartNumberingAfterBreak="0">
    <w:nsid w:val="5FF4679E"/>
    <w:multiLevelType w:val="hybridMultilevel"/>
    <w:tmpl w:val="E1D08B72"/>
    <w:lvl w:ilvl="0" w:tplc="0409000F">
      <w:start w:val="1"/>
      <w:numFmt w:val="decimal"/>
      <w:lvlText w:val="%1."/>
      <w:lvlJc w:val="left"/>
      <w:pPr>
        <w:ind w:left="79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6" w15:restartNumberingAfterBreak="0">
    <w:nsid w:val="604760F9"/>
    <w:multiLevelType w:val="hybridMultilevel"/>
    <w:tmpl w:val="EC60A6E6"/>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06D7B15"/>
    <w:multiLevelType w:val="hybridMultilevel"/>
    <w:tmpl w:val="5524C710"/>
    <w:lvl w:ilvl="0" w:tplc="43465692">
      <w:start w:val="1"/>
      <w:numFmt w:val="decimal"/>
      <w:lvlText w:val="%1."/>
      <w:lvlJc w:val="left"/>
      <w:pPr>
        <w:tabs>
          <w:tab w:val="num" w:pos="1440"/>
        </w:tabs>
        <w:ind w:left="1440" w:hanging="360"/>
      </w:pPr>
      <w:rPr>
        <w:rFonts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CF742A"/>
    <w:multiLevelType w:val="hybridMultilevel"/>
    <w:tmpl w:val="A85A2588"/>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6B1543E"/>
    <w:multiLevelType w:val="hybridMultilevel"/>
    <w:tmpl w:val="139EF982"/>
    <w:lvl w:ilvl="0" w:tplc="CC7415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7492EE6"/>
    <w:multiLevelType w:val="hybridMultilevel"/>
    <w:tmpl w:val="A08CB328"/>
    <w:lvl w:ilvl="0" w:tplc="488A2652">
      <w:start w:val="1"/>
      <w:numFmt w:val="upperLetter"/>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AB6370"/>
    <w:multiLevelType w:val="hybridMultilevel"/>
    <w:tmpl w:val="22BE2080"/>
    <w:lvl w:ilvl="0" w:tplc="D89EE736">
      <w:start w:val="1"/>
      <w:numFmt w:val="decimal"/>
      <w:lvlText w:val="%1."/>
      <w:lvlJc w:val="left"/>
      <w:pPr>
        <w:ind w:left="826" w:hanging="480"/>
      </w:pPr>
      <w:rPr>
        <w:rFonts w:cs="Times New Roman" w:hint="eastAsia"/>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42" w15:restartNumberingAfterBreak="0">
    <w:nsid w:val="732B112D"/>
    <w:multiLevelType w:val="hybridMultilevel"/>
    <w:tmpl w:val="4604795E"/>
    <w:lvl w:ilvl="0" w:tplc="7A962CDA">
      <w:start w:val="99"/>
      <w:numFmt w:val="bullet"/>
      <w:lvlText w:val="◎"/>
      <w:lvlJc w:val="left"/>
      <w:pPr>
        <w:tabs>
          <w:tab w:val="num" w:pos="346"/>
        </w:tabs>
        <w:ind w:left="346" w:hanging="360"/>
      </w:pPr>
      <w:rPr>
        <w:rFonts w:ascii="標楷體" w:eastAsia="標楷體" w:hAnsi="標楷體" w:hint="eastAsia"/>
      </w:rPr>
    </w:lvl>
    <w:lvl w:ilvl="1" w:tplc="0409001B">
      <w:start w:val="1"/>
      <w:numFmt w:val="lowerRoman"/>
      <w:lvlText w:val="%2."/>
      <w:lvlJc w:val="right"/>
      <w:pPr>
        <w:tabs>
          <w:tab w:val="num" w:pos="1440"/>
        </w:tabs>
        <w:ind w:left="1440" w:hanging="360"/>
      </w:pPr>
      <w:rPr>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73AD0DED"/>
    <w:multiLevelType w:val="hybridMultilevel"/>
    <w:tmpl w:val="FF72768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4" w15:restartNumberingAfterBreak="0">
    <w:nsid w:val="78494B79"/>
    <w:multiLevelType w:val="hybridMultilevel"/>
    <w:tmpl w:val="5B7AB09E"/>
    <w:lvl w:ilvl="0" w:tplc="CC74157E">
      <w:start w:val="1"/>
      <w:numFmt w:val="decimal"/>
      <w:lvlText w:val="%1."/>
      <w:lvlJc w:val="left"/>
      <w:pPr>
        <w:ind w:left="826" w:hanging="480"/>
      </w:pPr>
      <w:rPr>
        <w:rFonts w:hint="eastAsia"/>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45" w15:restartNumberingAfterBreak="0">
    <w:nsid w:val="79383E94"/>
    <w:multiLevelType w:val="hybridMultilevel"/>
    <w:tmpl w:val="CDA6DE76"/>
    <w:lvl w:ilvl="0" w:tplc="E8325788">
      <w:start w:val="1"/>
      <w:numFmt w:val="decimal"/>
      <w:lvlText w:val="%1."/>
      <w:lvlJc w:val="left"/>
      <w:pPr>
        <w:ind w:left="826" w:hanging="480"/>
      </w:pPr>
      <w:rPr>
        <w:rFonts w:hint="eastAsia"/>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46" w15:restartNumberingAfterBreak="0">
    <w:nsid w:val="7C03612B"/>
    <w:multiLevelType w:val="hybridMultilevel"/>
    <w:tmpl w:val="D50A9DB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F467457"/>
    <w:multiLevelType w:val="hybridMultilevel"/>
    <w:tmpl w:val="07745C30"/>
    <w:lvl w:ilvl="0" w:tplc="11DEAF3C">
      <w:start w:val="1"/>
      <w:numFmt w:val="decimal"/>
      <w:lvlText w:val="%1."/>
      <w:lvlJc w:val="left"/>
      <w:pPr>
        <w:ind w:left="8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1"/>
  </w:num>
  <w:num w:numId="5">
    <w:abstractNumId w:val="32"/>
  </w:num>
  <w:num w:numId="6">
    <w:abstractNumId w:val="13"/>
  </w:num>
  <w:num w:numId="7">
    <w:abstractNumId w:val="24"/>
  </w:num>
  <w:num w:numId="8">
    <w:abstractNumId w:val="27"/>
  </w:num>
  <w:num w:numId="9">
    <w:abstractNumId w:val="29"/>
  </w:num>
  <w:num w:numId="10">
    <w:abstractNumId w:val="6"/>
  </w:num>
  <w:num w:numId="11">
    <w:abstractNumId w:val="15"/>
  </w:num>
  <w:num w:numId="12">
    <w:abstractNumId w:val="46"/>
  </w:num>
  <w:num w:numId="13">
    <w:abstractNumId w:val="7"/>
  </w:num>
  <w:num w:numId="14">
    <w:abstractNumId w:val="31"/>
  </w:num>
  <w:num w:numId="15">
    <w:abstractNumId w:val="20"/>
  </w:num>
  <w:num w:numId="16">
    <w:abstractNumId w:val="43"/>
  </w:num>
  <w:num w:numId="17">
    <w:abstractNumId w:val="22"/>
  </w:num>
  <w:num w:numId="18">
    <w:abstractNumId w:val="16"/>
  </w:num>
  <w:num w:numId="19">
    <w:abstractNumId w:val="18"/>
  </w:num>
  <w:num w:numId="20">
    <w:abstractNumId w:val="36"/>
  </w:num>
  <w:num w:numId="21">
    <w:abstractNumId w:val="38"/>
  </w:num>
  <w:num w:numId="22">
    <w:abstractNumId w:val="25"/>
  </w:num>
  <w:num w:numId="23">
    <w:abstractNumId w:val="45"/>
  </w:num>
  <w:num w:numId="24">
    <w:abstractNumId w:val="3"/>
  </w:num>
  <w:num w:numId="25">
    <w:abstractNumId w:val="39"/>
  </w:num>
  <w:num w:numId="26">
    <w:abstractNumId w:val="44"/>
  </w:num>
  <w:num w:numId="27">
    <w:abstractNumId w:val="33"/>
  </w:num>
  <w:num w:numId="28">
    <w:abstractNumId w:val="8"/>
  </w:num>
  <w:num w:numId="29">
    <w:abstractNumId w:val="19"/>
  </w:num>
  <w:num w:numId="30">
    <w:abstractNumId w:val="2"/>
  </w:num>
  <w:num w:numId="31">
    <w:abstractNumId w:val="12"/>
  </w:num>
  <w:num w:numId="32">
    <w:abstractNumId w:val="21"/>
  </w:num>
  <w:num w:numId="33">
    <w:abstractNumId w:val="26"/>
  </w:num>
  <w:num w:numId="34">
    <w:abstractNumId w:val="14"/>
  </w:num>
  <w:num w:numId="35">
    <w:abstractNumId w:val="28"/>
  </w:num>
  <w:num w:numId="36">
    <w:abstractNumId w:val="47"/>
  </w:num>
  <w:num w:numId="37">
    <w:abstractNumId w:val="23"/>
  </w:num>
  <w:num w:numId="38">
    <w:abstractNumId w:val="4"/>
  </w:num>
  <w:num w:numId="39">
    <w:abstractNumId w:val="34"/>
  </w:num>
  <w:num w:numId="40">
    <w:abstractNumId w:val="5"/>
  </w:num>
  <w:num w:numId="41">
    <w:abstractNumId w:val="30"/>
  </w:num>
  <w:num w:numId="42">
    <w:abstractNumId w:val="11"/>
  </w:num>
  <w:num w:numId="43">
    <w:abstractNumId w:val="9"/>
  </w:num>
  <w:num w:numId="44">
    <w:abstractNumId w:val="42"/>
  </w:num>
  <w:num w:numId="45">
    <w:abstractNumId w:val="17"/>
  </w:num>
  <w:num w:numId="46">
    <w:abstractNumId w:val="40"/>
  </w:num>
  <w:num w:numId="47">
    <w:abstractNumId w:val="37"/>
  </w:num>
  <w:num w:numId="48">
    <w:abstractNumId w:val="1"/>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41"/>
    <w:rsid w:val="00000899"/>
    <w:rsid w:val="0000533D"/>
    <w:rsid w:val="00011906"/>
    <w:rsid w:val="00014990"/>
    <w:rsid w:val="00017171"/>
    <w:rsid w:val="00017AD6"/>
    <w:rsid w:val="000227E2"/>
    <w:rsid w:val="00032A84"/>
    <w:rsid w:val="00032CEE"/>
    <w:rsid w:val="0003449A"/>
    <w:rsid w:val="000417A7"/>
    <w:rsid w:val="0004206A"/>
    <w:rsid w:val="0004625C"/>
    <w:rsid w:val="00046DE5"/>
    <w:rsid w:val="00055428"/>
    <w:rsid w:val="000572D4"/>
    <w:rsid w:val="00057BAD"/>
    <w:rsid w:val="0006115A"/>
    <w:rsid w:val="00066521"/>
    <w:rsid w:val="000705C6"/>
    <w:rsid w:val="00077E95"/>
    <w:rsid w:val="000841D6"/>
    <w:rsid w:val="000926E5"/>
    <w:rsid w:val="00093776"/>
    <w:rsid w:val="0009412B"/>
    <w:rsid w:val="00096D25"/>
    <w:rsid w:val="00096F70"/>
    <w:rsid w:val="0009709F"/>
    <w:rsid w:val="00097928"/>
    <w:rsid w:val="000A3A6B"/>
    <w:rsid w:val="000A3E05"/>
    <w:rsid w:val="000C168C"/>
    <w:rsid w:val="000C189E"/>
    <w:rsid w:val="000C1A89"/>
    <w:rsid w:val="000C705F"/>
    <w:rsid w:val="000D0FB2"/>
    <w:rsid w:val="000D3E6C"/>
    <w:rsid w:val="000D5C02"/>
    <w:rsid w:val="000E438C"/>
    <w:rsid w:val="000E4DB4"/>
    <w:rsid w:val="000F5BF9"/>
    <w:rsid w:val="001037C9"/>
    <w:rsid w:val="00104870"/>
    <w:rsid w:val="001049E0"/>
    <w:rsid w:val="001051E5"/>
    <w:rsid w:val="00105264"/>
    <w:rsid w:val="0011604E"/>
    <w:rsid w:val="001164B5"/>
    <w:rsid w:val="001257FB"/>
    <w:rsid w:val="0013078F"/>
    <w:rsid w:val="00130F08"/>
    <w:rsid w:val="00131F77"/>
    <w:rsid w:val="00132D97"/>
    <w:rsid w:val="00133039"/>
    <w:rsid w:val="00133461"/>
    <w:rsid w:val="00136184"/>
    <w:rsid w:val="001365D2"/>
    <w:rsid w:val="001409C3"/>
    <w:rsid w:val="00142B3F"/>
    <w:rsid w:val="00145BC3"/>
    <w:rsid w:val="00150360"/>
    <w:rsid w:val="001517C2"/>
    <w:rsid w:val="00153858"/>
    <w:rsid w:val="00154725"/>
    <w:rsid w:val="0015736A"/>
    <w:rsid w:val="001611CC"/>
    <w:rsid w:val="00162D57"/>
    <w:rsid w:val="00164A8A"/>
    <w:rsid w:val="00167294"/>
    <w:rsid w:val="00172779"/>
    <w:rsid w:val="0017491F"/>
    <w:rsid w:val="001815C4"/>
    <w:rsid w:val="00186FAA"/>
    <w:rsid w:val="001938C0"/>
    <w:rsid w:val="001979BC"/>
    <w:rsid w:val="001A23C5"/>
    <w:rsid w:val="001A3CD6"/>
    <w:rsid w:val="001A6EE7"/>
    <w:rsid w:val="001B05FB"/>
    <w:rsid w:val="001B19B5"/>
    <w:rsid w:val="001B2908"/>
    <w:rsid w:val="001B36F2"/>
    <w:rsid w:val="001C5091"/>
    <w:rsid w:val="001C5A1B"/>
    <w:rsid w:val="001D43BC"/>
    <w:rsid w:val="001D5D19"/>
    <w:rsid w:val="001D6C93"/>
    <w:rsid w:val="001D789A"/>
    <w:rsid w:val="001E4113"/>
    <w:rsid w:val="001E4D43"/>
    <w:rsid w:val="001E6F73"/>
    <w:rsid w:val="001E6F88"/>
    <w:rsid w:val="001F2486"/>
    <w:rsid w:val="001F596B"/>
    <w:rsid w:val="00203113"/>
    <w:rsid w:val="00211E09"/>
    <w:rsid w:val="0021575E"/>
    <w:rsid w:val="00215F9D"/>
    <w:rsid w:val="00233E51"/>
    <w:rsid w:val="00235F72"/>
    <w:rsid w:val="00240B54"/>
    <w:rsid w:val="00241556"/>
    <w:rsid w:val="002420D6"/>
    <w:rsid w:val="0024288E"/>
    <w:rsid w:val="00246966"/>
    <w:rsid w:val="0025164B"/>
    <w:rsid w:val="00252DD4"/>
    <w:rsid w:val="002614E5"/>
    <w:rsid w:val="002647F8"/>
    <w:rsid w:val="0027252E"/>
    <w:rsid w:val="0027402D"/>
    <w:rsid w:val="0027776F"/>
    <w:rsid w:val="002853C3"/>
    <w:rsid w:val="00285934"/>
    <w:rsid w:val="00294D42"/>
    <w:rsid w:val="002A2CDB"/>
    <w:rsid w:val="002A3E0E"/>
    <w:rsid w:val="002B0CE6"/>
    <w:rsid w:val="002B5B23"/>
    <w:rsid w:val="002C2A88"/>
    <w:rsid w:val="002C5626"/>
    <w:rsid w:val="002C6100"/>
    <w:rsid w:val="002D3FC9"/>
    <w:rsid w:val="002D587E"/>
    <w:rsid w:val="002E270A"/>
    <w:rsid w:val="002F036F"/>
    <w:rsid w:val="002F4CC4"/>
    <w:rsid w:val="002F6F44"/>
    <w:rsid w:val="0030004B"/>
    <w:rsid w:val="0030181F"/>
    <w:rsid w:val="00302292"/>
    <w:rsid w:val="003025BF"/>
    <w:rsid w:val="00317D3B"/>
    <w:rsid w:val="0032019C"/>
    <w:rsid w:val="003209F3"/>
    <w:rsid w:val="00322A67"/>
    <w:rsid w:val="003269CF"/>
    <w:rsid w:val="003342E0"/>
    <w:rsid w:val="00336369"/>
    <w:rsid w:val="00341AF9"/>
    <w:rsid w:val="003432D4"/>
    <w:rsid w:val="00344761"/>
    <w:rsid w:val="00346490"/>
    <w:rsid w:val="00351280"/>
    <w:rsid w:val="003577D0"/>
    <w:rsid w:val="00357EF8"/>
    <w:rsid w:val="00362C03"/>
    <w:rsid w:val="003708D0"/>
    <w:rsid w:val="00370EB4"/>
    <w:rsid w:val="00380E14"/>
    <w:rsid w:val="003834C7"/>
    <w:rsid w:val="003850C5"/>
    <w:rsid w:val="00387C17"/>
    <w:rsid w:val="00390AD4"/>
    <w:rsid w:val="00391418"/>
    <w:rsid w:val="003B00A4"/>
    <w:rsid w:val="003B36A0"/>
    <w:rsid w:val="003B53BF"/>
    <w:rsid w:val="003B56BC"/>
    <w:rsid w:val="003C05BB"/>
    <w:rsid w:val="003C0E64"/>
    <w:rsid w:val="003C54B8"/>
    <w:rsid w:val="003C718F"/>
    <w:rsid w:val="003D24A0"/>
    <w:rsid w:val="003F03D1"/>
    <w:rsid w:val="003F2144"/>
    <w:rsid w:val="00400BCB"/>
    <w:rsid w:val="004036E7"/>
    <w:rsid w:val="00416206"/>
    <w:rsid w:val="00431A54"/>
    <w:rsid w:val="00432B74"/>
    <w:rsid w:val="00437BA8"/>
    <w:rsid w:val="00442988"/>
    <w:rsid w:val="00443436"/>
    <w:rsid w:val="004518A5"/>
    <w:rsid w:val="004559E9"/>
    <w:rsid w:val="004677D2"/>
    <w:rsid w:val="00470B91"/>
    <w:rsid w:val="0047128D"/>
    <w:rsid w:val="00477791"/>
    <w:rsid w:val="00491E85"/>
    <w:rsid w:val="00494350"/>
    <w:rsid w:val="004948DF"/>
    <w:rsid w:val="00494B0B"/>
    <w:rsid w:val="004956BA"/>
    <w:rsid w:val="004A26FB"/>
    <w:rsid w:val="004A2826"/>
    <w:rsid w:val="004A4DAE"/>
    <w:rsid w:val="004B038A"/>
    <w:rsid w:val="004C387E"/>
    <w:rsid w:val="004E50EE"/>
    <w:rsid w:val="004F2FA5"/>
    <w:rsid w:val="004F7940"/>
    <w:rsid w:val="0050150D"/>
    <w:rsid w:val="00513748"/>
    <w:rsid w:val="00516F4B"/>
    <w:rsid w:val="00525106"/>
    <w:rsid w:val="00525D2E"/>
    <w:rsid w:val="00533272"/>
    <w:rsid w:val="005376EA"/>
    <w:rsid w:val="00541C57"/>
    <w:rsid w:val="00542A00"/>
    <w:rsid w:val="00542A08"/>
    <w:rsid w:val="00543347"/>
    <w:rsid w:val="0054364B"/>
    <w:rsid w:val="005441B0"/>
    <w:rsid w:val="00544659"/>
    <w:rsid w:val="005519E9"/>
    <w:rsid w:val="00551F74"/>
    <w:rsid w:val="0055218E"/>
    <w:rsid w:val="00567D81"/>
    <w:rsid w:val="00570194"/>
    <w:rsid w:val="00573145"/>
    <w:rsid w:val="0057706B"/>
    <w:rsid w:val="00580DAA"/>
    <w:rsid w:val="00584461"/>
    <w:rsid w:val="00586F62"/>
    <w:rsid w:val="00590BF6"/>
    <w:rsid w:val="005941C9"/>
    <w:rsid w:val="00594DDE"/>
    <w:rsid w:val="00594E21"/>
    <w:rsid w:val="005B5CD3"/>
    <w:rsid w:val="005B6730"/>
    <w:rsid w:val="005C054C"/>
    <w:rsid w:val="005C1444"/>
    <w:rsid w:val="005C31DA"/>
    <w:rsid w:val="005C7A57"/>
    <w:rsid w:val="005E3BF1"/>
    <w:rsid w:val="005E3D0D"/>
    <w:rsid w:val="005E492A"/>
    <w:rsid w:val="005F6D8A"/>
    <w:rsid w:val="00601B22"/>
    <w:rsid w:val="00621754"/>
    <w:rsid w:val="00621E6A"/>
    <w:rsid w:val="00631223"/>
    <w:rsid w:val="00631BCC"/>
    <w:rsid w:val="00633A5D"/>
    <w:rsid w:val="00644664"/>
    <w:rsid w:val="006448FD"/>
    <w:rsid w:val="006457C5"/>
    <w:rsid w:val="00650041"/>
    <w:rsid w:val="0065681B"/>
    <w:rsid w:val="0065725D"/>
    <w:rsid w:val="00670780"/>
    <w:rsid w:val="006777C3"/>
    <w:rsid w:val="00680B56"/>
    <w:rsid w:val="00692E10"/>
    <w:rsid w:val="006943F7"/>
    <w:rsid w:val="006958C6"/>
    <w:rsid w:val="00696EC9"/>
    <w:rsid w:val="006A58A3"/>
    <w:rsid w:val="006A71AD"/>
    <w:rsid w:val="006B2AD3"/>
    <w:rsid w:val="006B2E8F"/>
    <w:rsid w:val="006C1F4B"/>
    <w:rsid w:val="006C234F"/>
    <w:rsid w:val="006C45B7"/>
    <w:rsid w:val="006C47BE"/>
    <w:rsid w:val="006C5DFB"/>
    <w:rsid w:val="006C6FC3"/>
    <w:rsid w:val="006D4051"/>
    <w:rsid w:val="006E06D5"/>
    <w:rsid w:val="006E3EFC"/>
    <w:rsid w:val="006E40CD"/>
    <w:rsid w:val="006E44F3"/>
    <w:rsid w:val="006E572E"/>
    <w:rsid w:val="006F3C80"/>
    <w:rsid w:val="00701E62"/>
    <w:rsid w:val="00703733"/>
    <w:rsid w:val="00705769"/>
    <w:rsid w:val="00711D0C"/>
    <w:rsid w:val="007144AA"/>
    <w:rsid w:val="00716EF9"/>
    <w:rsid w:val="00720415"/>
    <w:rsid w:val="007234B7"/>
    <w:rsid w:val="00724B56"/>
    <w:rsid w:val="007304F8"/>
    <w:rsid w:val="00734FB0"/>
    <w:rsid w:val="007355FF"/>
    <w:rsid w:val="00747215"/>
    <w:rsid w:val="00747CC6"/>
    <w:rsid w:val="00757B2E"/>
    <w:rsid w:val="00775D02"/>
    <w:rsid w:val="007765B3"/>
    <w:rsid w:val="0077765F"/>
    <w:rsid w:val="00790EA3"/>
    <w:rsid w:val="00793E18"/>
    <w:rsid w:val="00795BF3"/>
    <w:rsid w:val="007A1EEC"/>
    <w:rsid w:val="007A358C"/>
    <w:rsid w:val="007A4CAF"/>
    <w:rsid w:val="007B1E92"/>
    <w:rsid w:val="007B7240"/>
    <w:rsid w:val="007B79BB"/>
    <w:rsid w:val="007B7C6C"/>
    <w:rsid w:val="007C10B1"/>
    <w:rsid w:val="007C1262"/>
    <w:rsid w:val="007C3429"/>
    <w:rsid w:val="007D1DF8"/>
    <w:rsid w:val="007D2584"/>
    <w:rsid w:val="007D48EB"/>
    <w:rsid w:val="007D7314"/>
    <w:rsid w:val="007E367A"/>
    <w:rsid w:val="007F18FF"/>
    <w:rsid w:val="007F380B"/>
    <w:rsid w:val="007F5278"/>
    <w:rsid w:val="007F5F58"/>
    <w:rsid w:val="007F682B"/>
    <w:rsid w:val="00802B67"/>
    <w:rsid w:val="0081007B"/>
    <w:rsid w:val="00810603"/>
    <w:rsid w:val="0081228D"/>
    <w:rsid w:val="00812A01"/>
    <w:rsid w:val="00812C19"/>
    <w:rsid w:val="00820613"/>
    <w:rsid w:val="008224EF"/>
    <w:rsid w:val="008279C2"/>
    <w:rsid w:val="00834C6B"/>
    <w:rsid w:val="00837B60"/>
    <w:rsid w:val="00843FEC"/>
    <w:rsid w:val="008456BF"/>
    <w:rsid w:val="0084741A"/>
    <w:rsid w:val="008534D6"/>
    <w:rsid w:val="0085539E"/>
    <w:rsid w:val="00871C9F"/>
    <w:rsid w:val="00874130"/>
    <w:rsid w:val="00875911"/>
    <w:rsid w:val="00876FFC"/>
    <w:rsid w:val="0088024A"/>
    <w:rsid w:val="008967C1"/>
    <w:rsid w:val="008A309D"/>
    <w:rsid w:val="008A5F1A"/>
    <w:rsid w:val="008B03BD"/>
    <w:rsid w:val="008B1E12"/>
    <w:rsid w:val="008B23E1"/>
    <w:rsid w:val="008C4C48"/>
    <w:rsid w:val="008C6789"/>
    <w:rsid w:val="008D085F"/>
    <w:rsid w:val="008E4B76"/>
    <w:rsid w:val="008F0DCA"/>
    <w:rsid w:val="008F3075"/>
    <w:rsid w:val="008F7A97"/>
    <w:rsid w:val="008F7FAA"/>
    <w:rsid w:val="00900DF0"/>
    <w:rsid w:val="00901209"/>
    <w:rsid w:val="00906275"/>
    <w:rsid w:val="009071F8"/>
    <w:rsid w:val="00913500"/>
    <w:rsid w:val="00913E22"/>
    <w:rsid w:val="00920962"/>
    <w:rsid w:val="00920D65"/>
    <w:rsid w:val="009234D1"/>
    <w:rsid w:val="00931790"/>
    <w:rsid w:val="0093272F"/>
    <w:rsid w:val="0093427E"/>
    <w:rsid w:val="00936E35"/>
    <w:rsid w:val="009424B6"/>
    <w:rsid w:val="00943722"/>
    <w:rsid w:val="009509CA"/>
    <w:rsid w:val="00953949"/>
    <w:rsid w:val="009559DE"/>
    <w:rsid w:val="0095729E"/>
    <w:rsid w:val="00960C09"/>
    <w:rsid w:val="00961207"/>
    <w:rsid w:val="00963793"/>
    <w:rsid w:val="00967C4B"/>
    <w:rsid w:val="009701CC"/>
    <w:rsid w:val="0097283E"/>
    <w:rsid w:val="00972E63"/>
    <w:rsid w:val="009751D7"/>
    <w:rsid w:val="0098336A"/>
    <w:rsid w:val="00983D0B"/>
    <w:rsid w:val="009879B8"/>
    <w:rsid w:val="009945E2"/>
    <w:rsid w:val="00996A79"/>
    <w:rsid w:val="009A332B"/>
    <w:rsid w:val="009A4704"/>
    <w:rsid w:val="009A7741"/>
    <w:rsid w:val="009B4394"/>
    <w:rsid w:val="009B492B"/>
    <w:rsid w:val="009B5BE7"/>
    <w:rsid w:val="009C0EFD"/>
    <w:rsid w:val="009C23A4"/>
    <w:rsid w:val="009C71CB"/>
    <w:rsid w:val="009D0781"/>
    <w:rsid w:val="009D556C"/>
    <w:rsid w:val="009F0BA6"/>
    <w:rsid w:val="009F1ABC"/>
    <w:rsid w:val="009F7598"/>
    <w:rsid w:val="009F7A0A"/>
    <w:rsid w:val="00A0525C"/>
    <w:rsid w:val="00A128BE"/>
    <w:rsid w:val="00A1597B"/>
    <w:rsid w:val="00A1749B"/>
    <w:rsid w:val="00A17684"/>
    <w:rsid w:val="00A17CDC"/>
    <w:rsid w:val="00A27030"/>
    <w:rsid w:val="00A30C4F"/>
    <w:rsid w:val="00A33080"/>
    <w:rsid w:val="00A35F36"/>
    <w:rsid w:val="00A36186"/>
    <w:rsid w:val="00A41BA6"/>
    <w:rsid w:val="00A41FED"/>
    <w:rsid w:val="00A43DE1"/>
    <w:rsid w:val="00A50D2C"/>
    <w:rsid w:val="00A608A0"/>
    <w:rsid w:val="00A60A53"/>
    <w:rsid w:val="00A632BA"/>
    <w:rsid w:val="00A64165"/>
    <w:rsid w:val="00A7640E"/>
    <w:rsid w:val="00A82008"/>
    <w:rsid w:val="00A84D58"/>
    <w:rsid w:val="00A854A8"/>
    <w:rsid w:val="00A9339D"/>
    <w:rsid w:val="00A948FB"/>
    <w:rsid w:val="00AA2C43"/>
    <w:rsid w:val="00AA5B31"/>
    <w:rsid w:val="00AB1B07"/>
    <w:rsid w:val="00AB1DEC"/>
    <w:rsid w:val="00AB378A"/>
    <w:rsid w:val="00AC679D"/>
    <w:rsid w:val="00AC6CDC"/>
    <w:rsid w:val="00AD6ED4"/>
    <w:rsid w:val="00AE1098"/>
    <w:rsid w:val="00AE3E26"/>
    <w:rsid w:val="00AF3E85"/>
    <w:rsid w:val="00AF576F"/>
    <w:rsid w:val="00B06C92"/>
    <w:rsid w:val="00B20CB2"/>
    <w:rsid w:val="00B21BD1"/>
    <w:rsid w:val="00B26316"/>
    <w:rsid w:val="00B267F8"/>
    <w:rsid w:val="00B2713A"/>
    <w:rsid w:val="00B276CA"/>
    <w:rsid w:val="00B304A5"/>
    <w:rsid w:val="00B32C39"/>
    <w:rsid w:val="00B32E3C"/>
    <w:rsid w:val="00B36263"/>
    <w:rsid w:val="00B40E3E"/>
    <w:rsid w:val="00B41CFE"/>
    <w:rsid w:val="00B424C0"/>
    <w:rsid w:val="00B433F5"/>
    <w:rsid w:val="00B515DE"/>
    <w:rsid w:val="00B57AEE"/>
    <w:rsid w:val="00B63D3E"/>
    <w:rsid w:val="00B64D74"/>
    <w:rsid w:val="00B65FF0"/>
    <w:rsid w:val="00B70924"/>
    <w:rsid w:val="00B70E1C"/>
    <w:rsid w:val="00B74E5C"/>
    <w:rsid w:val="00B80624"/>
    <w:rsid w:val="00B8469B"/>
    <w:rsid w:val="00B90899"/>
    <w:rsid w:val="00B91FC0"/>
    <w:rsid w:val="00B923D9"/>
    <w:rsid w:val="00B9319A"/>
    <w:rsid w:val="00B95864"/>
    <w:rsid w:val="00BA03FA"/>
    <w:rsid w:val="00BA3FCB"/>
    <w:rsid w:val="00BB1930"/>
    <w:rsid w:val="00BB77E5"/>
    <w:rsid w:val="00BC3096"/>
    <w:rsid w:val="00BD1250"/>
    <w:rsid w:val="00BD309F"/>
    <w:rsid w:val="00BE5D4D"/>
    <w:rsid w:val="00BE65D7"/>
    <w:rsid w:val="00BE7D96"/>
    <w:rsid w:val="00BF1B90"/>
    <w:rsid w:val="00BF31DF"/>
    <w:rsid w:val="00C024F6"/>
    <w:rsid w:val="00C06E24"/>
    <w:rsid w:val="00C06FAC"/>
    <w:rsid w:val="00C07109"/>
    <w:rsid w:val="00C0737A"/>
    <w:rsid w:val="00C07E85"/>
    <w:rsid w:val="00C109F4"/>
    <w:rsid w:val="00C10AA8"/>
    <w:rsid w:val="00C1197C"/>
    <w:rsid w:val="00C1455D"/>
    <w:rsid w:val="00C14BC0"/>
    <w:rsid w:val="00C15BDF"/>
    <w:rsid w:val="00C16ADA"/>
    <w:rsid w:val="00C23533"/>
    <w:rsid w:val="00C32212"/>
    <w:rsid w:val="00C41DF6"/>
    <w:rsid w:val="00C42E7D"/>
    <w:rsid w:val="00C433B5"/>
    <w:rsid w:val="00C45364"/>
    <w:rsid w:val="00C46B91"/>
    <w:rsid w:val="00C46FE1"/>
    <w:rsid w:val="00C56B68"/>
    <w:rsid w:val="00C605A0"/>
    <w:rsid w:val="00C61237"/>
    <w:rsid w:val="00C65C2A"/>
    <w:rsid w:val="00C72E85"/>
    <w:rsid w:val="00C75779"/>
    <w:rsid w:val="00C75C7F"/>
    <w:rsid w:val="00C7680B"/>
    <w:rsid w:val="00C859E3"/>
    <w:rsid w:val="00C870E0"/>
    <w:rsid w:val="00C92D21"/>
    <w:rsid w:val="00C93D33"/>
    <w:rsid w:val="00C96599"/>
    <w:rsid w:val="00CA1255"/>
    <w:rsid w:val="00CA3983"/>
    <w:rsid w:val="00CB2324"/>
    <w:rsid w:val="00CB72D5"/>
    <w:rsid w:val="00CC5516"/>
    <w:rsid w:val="00CC6E31"/>
    <w:rsid w:val="00CD3091"/>
    <w:rsid w:val="00CD3C38"/>
    <w:rsid w:val="00CD47ED"/>
    <w:rsid w:val="00CD79D6"/>
    <w:rsid w:val="00CE6C8C"/>
    <w:rsid w:val="00CF7F31"/>
    <w:rsid w:val="00D036AF"/>
    <w:rsid w:val="00D16650"/>
    <w:rsid w:val="00D1677B"/>
    <w:rsid w:val="00D21FBA"/>
    <w:rsid w:val="00D31502"/>
    <w:rsid w:val="00D43E77"/>
    <w:rsid w:val="00D47A6A"/>
    <w:rsid w:val="00D55E01"/>
    <w:rsid w:val="00D60258"/>
    <w:rsid w:val="00D703C4"/>
    <w:rsid w:val="00D7135A"/>
    <w:rsid w:val="00D7317D"/>
    <w:rsid w:val="00D751DC"/>
    <w:rsid w:val="00D81E61"/>
    <w:rsid w:val="00D91ABB"/>
    <w:rsid w:val="00D96ABC"/>
    <w:rsid w:val="00DA0A54"/>
    <w:rsid w:val="00DA25A0"/>
    <w:rsid w:val="00DB0099"/>
    <w:rsid w:val="00DB2BAE"/>
    <w:rsid w:val="00DB5486"/>
    <w:rsid w:val="00DC2F9A"/>
    <w:rsid w:val="00DC770B"/>
    <w:rsid w:val="00DD0BF4"/>
    <w:rsid w:val="00DD14F8"/>
    <w:rsid w:val="00DD2EF3"/>
    <w:rsid w:val="00DE4BCA"/>
    <w:rsid w:val="00DE62E8"/>
    <w:rsid w:val="00DF659A"/>
    <w:rsid w:val="00DF799D"/>
    <w:rsid w:val="00E0088E"/>
    <w:rsid w:val="00E00E2D"/>
    <w:rsid w:val="00E03233"/>
    <w:rsid w:val="00E033CE"/>
    <w:rsid w:val="00E05A65"/>
    <w:rsid w:val="00E15128"/>
    <w:rsid w:val="00E21A89"/>
    <w:rsid w:val="00E32650"/>
    <w:rsid w:val="00E3531E"/>
    <w:rsid w:val="00E42211"/>
    <w:rsid w:val="00E43180"/>
    <w:rsid w:val="00E52364"/>
    <w:rsid w:val="00E53CAC"/>
    <w:rsid w:val="00E5773D"/>
    <w:rsid w:val="00E62ECE"/>
    <w:rsid w:val="00E64C51"/>
    <w:rsid w:val="00E65DB7"/>
    <w:rsid w:val="00E73D40"/>
    <w:rsid w:val="00E74E4C"/>
    <w:rsid w:val="00E83C1D"/>
    <w:rsid w:val="00E84742"/>
    <w:rsid w:val="00E855E2"/>
    <w:rsid w:val="00E866D8"/>
    <w:rsid w:val="00E872F4"/>
    <w:rsid w:val="00E87D8B"/>
    <w:rsid w:val="00E928CE"/>
    <w:rsid w:val="00E96F6D"/>
    <w:rsid w:val="00EA06DF"/>
    <w:rsid w:val="00EA0A37"/>
    <w:rsid w:val="00EA39AB"/>
    <w:rsid w:val="00EB5F6C"/>
    <w:rsid w:val="00EB6849"/>
    <w:rsid w:val="00ED1B87"/>
    <w:rsid w:val="00ED2574"/>
    <w:rsid w:val="00ED2F93"/>
    <w:rsid w:val="00ED412A"/>
    <w:rsid w:val="00ED6CFF"/>
    <w:rsid w:val="00EE3CB2"/>
    <w:rsid w:val="00EE73AF"/>
    <w:rsid w:val="00EF0BC7"/>
    <w:rsid w:val="00EF17EF"/>
    <w:rsid w:val="00EF2CDB"/>
    <w:rsid w:val="00F01A22"/>
    <w:rsid w:val="00F01E23"/>
    <w:rsid w:val="00F02F8D"/>
    <w:rsid w:val="00F06A4A"/>
    <w:rsid w:val="00F12DD3"/>
    <w:rsid w:val="00F200AF"/>
    <w:rsid w:val="00F21086"/>
    <w:rsid w:val="00F2152A"/>
    <w:rsid w:val="00F21D10"/>
    <w:rsid w:val="00F24E6E"/>
    <w:rsid w:val="00F3622B"/>
    <w:rsid w:val="00F37403"/>
    <w:rsid w:val="00F5040F"/>
    <w:rsid w:val="00F55BB2"/>
    <w:rsid w:val="00F612DB"/>
    <w:rsid w:val="00F61338"/>
    <w:rsid w:val="00F70349"/>
    <w:rsid w:val="00F80177"/>
    <w:rsid w:val="00F81A18"/>
    <w:rsid w:val="00F86DA7"/>
    <w:rsid w:val="00F903D6"/>
    <w:rsid w:val="00F9102C"/>
    <w:rsid w:val="00FA7939"/>
    <w:rsid w:val="00FB40C9"/>
    <w:rsid w:val="00FC31EB"/>
    <w:rsid w:val="00FC3C63"/>
    <w:rsid w:val="00FC4F6B"/>
    <w:rsid w:val="00FD18AB"/>
    <w:rsid w:val="00FD33E8"/>
    <w:rsid w:val="00FD4F53"/>
    <w:rsid w:val="00FF4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627C35-4675-4F70-A2A8-E3A71DD8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customStyle="1" w:styleId="m-4432429833575846576m-9066279047794864691gmail-m4579433379537909631gmail-msolistparagraph">
    <w:name w:val="m_-4432429833575846576m_-9066279047794864691gmail-m4579433379537909631gmail-msolistparagraph"/>
    <w:basedOn w:val="a"/>
    <w:rsid w:val="00B63D3E"/>
    <w:pPr>
      <w:widowControl/>
      <w:spacing w:before="100" w:beforeAutospacing="1" w:after="100" w:afterAutospacing="1"/>
    </w:pPr>
    <w:rPr>
      <w:rFonts w:ascii="新細明體" w:hAnsi="新細明體" w:cs="新細明體"/>
      <w:kern w:val="0"/>
      <w:szCs w:val="24"/>
    </w:rPr>
  </w:style>
  <w:style w:type="paragraph" w:customStyle="1" w:styleId="m-7415284666064861952m4114503897044411343gmail-msolistparagraph">
    <w:name w:val="m_-7415284666064861952m_4114503897044411343gmail-msolistparagraph"/>
    <w:basedOn w:val="a"/>
    <w:rsid w:val="00E872F4"/>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B27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4621">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r.fd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藥品安全資訊風險溝通表final版.dotx</Template>
  <TotalTime>2</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胡雅姿</cp:lastModifiedBy>
  <cp:revision>2</cp:revision>
  <cp:lastPrinted>2017-10-27T01:55:00Z</cp:lastPrinted>
  <dcterms:created xsi:type="dcterms:W3CDTF">2017-11-13T10:09:00Z</dcterms:created>
  <dcterms:modified xsi:type="dcterms:W3CDTF">2017-11-13T10:09:00Z</dcterms:modified>
</cp:coreProperties>
</file>