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B237D6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double" w:sz="4" w:space="0" w:color="2254A6"/>
            </w:tcBorders>
            <w:shd w:val="clear" w:color="auto" w:fill="auto"/>
            <w:tcMar>
              <w:left w:w="48" w:type="dxa"/>
            </w:tcMar>
          </w:tcPr>
          <w:p w:rsidR="00B237D6" w:rsidRDefault="00390FCC">
            <w:pPr>
              <w:rPr>
                <w:rFonts w:ascii="微軟正黑體" w:eastAsia="微軟正黑體" w:hAnsi="微軟正黑體"/>
                <w:color w:val="2254A6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2254A6" w:themeColor="accent1"/>
                <w:sz w:val="36"/>
                <w:szCs w:val="36"/>
              </w:rPr>
              <w:t>衛教資訊</w:t>
            </w:r>
          </w:p>
          <w:p w:rsidR="00B237D6" w:rsidRDefault="00B237D6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B237D6" w:rsidRDefault="00B237D6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B237D6" w:rsidRDefault="00B237D6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B237D6" w:rsidRDefault="00390FCC">
            <w:pPr>
              <w:rPr>
                <w:color w:val="2254A6" w:themeColor="accent1"/>
              </w:rPr>
            </w:pPr>
            <w:r>
              <w:rPr>
                <w:rFonts w:ascii="新細明體" w:hAnsi="新細明體"/>
                <w:b/>
                <w:color w:val="2254A6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2254A6"/>
              <w:bottom w:val="nil"/>
              <w:right w:val="nil"/>
            </w:tcBorders>
            <w:shd w:val="clear" w:color="auto" w:fill="2254A6" w:themeFill="accent1"/>
            <w:tcMar>
              <w:left w:w="93" w:type="dxa"/>
            </w:tcMar>
          </w:tcPr>
          <w:p w:rsidR="00B237D6" w:rsidRDefault="00390FCC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非傳染性皮膚疾病：蕁麻疹</w:t>
            </w:r>
          </w:p>
        </w:tc>
      </w:tr>
      <w:tr w:rsidR="00B237D6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double" w:sz="4" w:space="0" w:color="2254A6"/>
            </w:tcBorders>
            <w:shd w:val="clear" w:color="auto" w:fill="auto"/>
            <w:tcMar>
              <w:left w:w="48" w:type="dxa"/>
            </w:tcMar>
          </w:tcPr>
          <w:p w:rsidR="00B237D6" w:rsidRDefault="00390FCC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B237D6" w:rsidRDefault="00390FCC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B237D6" w:rsidRDefault="00390FCC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b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2254A6"/>
              <w:bottom w:val="nil"/>
              <w:right w:val="nil"/>
            </w:tcBorders>
            <w:shd w:val="clear" w:color="auto" w:fill="2254A6" w:themeFill="accent1"/>
            <w:tcMar>
              <w:left w:w="93" w:type="dxa"/>
            </w:tcMar>
            <w:vAlign w:val="bottom"/>
          </w:tcPr>
          <w:p w:rsidR="00B237D6" w:rsidRDefault="00390FCC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C55241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C55241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C55241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B237D6" w:rsidRDefault="00390FCC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B237D6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nil"/>
            </w:tcBorders>
            <w:shd w:val="clear" w:color="auto" w:fill="CBDAF4" w:themeFill="accent1" w:themeFillTint="33"/>
            <w:tcMar>
              <w:left w:w="48" w:type="dxa"/>
            </w:tcMar>
          </w:tcPr>
          <w:p w:rsidR="00B237D6" w:rsidRDefault="00390FCC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B237D6" w:rsidRDefault="00390FCC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B237D6" w:rsidRDefault="00390FCC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7D6" w:rsidRDefault="00390FCC">
            <w:pPr>
              <w:jc w:val="right"/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9525">
                  <wp:extent cx="4524375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54A6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  <w:t>(C)Mackay Memorial Hospital All Rights Reserved.</w:t>
            </w:r>
          </w:p>
          <w:p w:rsidR="00B237D6" w:rsidRDefault="00390FCC">
            <w:pPr>
              <w:jc w:val="right"/>
              <w:rPr>
                <w:color w:val="2254A6" w:themeColor="accent1"/>
              </w:rPr>
            </w:pPr>
            <w:r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B237D6" w:rsidRDefault="00B237D6">
      <w:pPr>
        <w:widowControl/>
        <w:spacing w:before="120" w:line="280" w:lineRule="exact"/>
        <w:ind w:left="120"/>
        <w:rPr>
          <w:rFonts w:ascii="微軟正黑體" w:eastAsia="微軟正黑體" w:hAnsi="微軟正黑體" w:cs="細明體"/>
          <w:sz w:val="28"/>
          <w:szCs w:val="28"/>
        </w:rPr>
      </w:pPr>
    </w:p>
    <w:p w:rsidR="00B237D6" w:rsidRDefault="00390FCC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蕁麻疹是一種常見的過敏性皮膚病，因身體接觸到某一種或多種之過敏原(包括食入、吸入、皮膚接觸、注射進入)，引起皮膚內小血管急速擴張，而在皮膚表面形成膨疹。</w:t>
      </w:r>
      <w:proofErr w:type="gramStart"/>
      <w:r>
        <w:rPr>
          <w:rFonts w:ascii="微軟正黑體" w:eastAsia="微軟正黑體" w:hAnsi="微軟正黑體" w:cs="細明體"/>
          <w:sz w:val="22"/>
        </w:rPr>
        <w:t>膨疹在24小時內</w:t>
      </w:r>
      <w:proofErr w:type="gramEnd"/>
      <w:r>
        <w:rPr>
          <w:rFonts w:ascii="微軟正黑體" w:eastAsia="微軟正黑體" w:hAnsi="微軟正黑體" w:cs="細明體"/>
          <w:sz w:val="22"/>
        </w:rPr>
        <w:t>會自動消除，但在過敏原未完全離開身體或是不斷再接觸</w:t>
      </w:r>
    </w:p>
    <w:p w:rsidR="00B237D6" w:rsidRDefault="00390FCC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到過敏原時，</w:t>
      </w:r>
      <w:proofErr w:type="gramStart"/>
      <w:r>
        <w:rPr>
          <w:rFonts w:ascii="微軟正黑體" w:eastAsia="微軟正黑體" w:hAnsi="微軟正黑體" w:cs="細明體"/>
          <w:sz w:val="22"/>
        </w:rPr>
        <w:t>膨疹將反覆</w:t>
      </w:r>
      <w:proofErr w:type="gramEnd"/>
      <w:r>
        <w:rPr>
          <w:rFonts w:ascii="微軟正黑體" w:eastAsia="微軟正黑體" w:hAnsi="微軟正黑體" w:cs="細明體"/>
          <w:sz w:val="22"/>
        </w:rPr>
        <w:t>的發作。大多數蕁麻疹為急性發作，在數天後會自動康復；但若反復發作超過 6 星期以上，則稱為慢性蕁麻疹。</w:t>
      </w:r>
    </w:p>
    <w:p w:rsidR="00B237D6" w:rsidRDefault="00B237D6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bookmarkStart w:id="0" w:name="_GoBack"/>
      <w:bookmarkEnd w:id="0"/>
    </w:p>
    <w:p w:rsidR="00B237D6" w:rsidRDefault="00390FCC">
      <w:pPr>
        <w:widowControl/>
        <w:spacing w:before="120" w:line="280" w:lineRule="exact"/>
        <w:rPr>
          <w:rFonts w:ascii="微軟正黑體" w:eastAsia="微軟正黑體" w:hAnsi="微軟正黑體" w:cs="細明體"/>
          <w:b/>
          <w:sz w:val="22"/>
          <w:u w:val="single"/>
        </w:rPr>
      </w:pPr>
      <w:r>
        <w:rPr>
          <w:rFonts w:ascii="微軟正黑體" w:eastAsia="微軟正黑體" w:hAnsi="微軟正黑體" w:cs="細明體"/>
          <w:b/>
          <w:u w:val="single"/>
        </w:rPr>
        <w:t>常見引起蕁麻疹之原因：</w:t>
      </w:r>
    </w:p>
    <w:p w:rsidR="00B237D6" w:rsidRDefault="00390FCC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急性蕁麻疹常只由單一原因引起，慢性蕁麻疹則可能由單一或多發性原因造成。</w:t>
      </w:r>
    </w:p>
    <w:p w:rsidR="00B237D6" w:rsidRDefault="00390FCC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飲食： </w:t>
      </w:r>
    </w:p>
    <w:p w:rsidR="00B237D6" w:rsidRDefault="00390FCC">
      <w:pPr>
        <w:pStyle w:val="ad"/>
        <w:widowControl/>
        <w:numPr>
          <w:ilvl w:val="0"/>
          <w:numId w:val="3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海鮮(尤其生食者) ： 蝦、蟹、貝類、不新鮮的魚 </w:t>
      </w:r>
    </w:p>
    <w:p w:rsidR="00B237D6" w:rsidRDefault="00390FCC">
      <w:pPr>
        <w:pStyle w:val="ad"/>
        <w:widowControl/>
        <w:numPr>
          <w:ilvl w:val="0"/>
          <w:numId w:val="3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含酵母菌或經過發酵處理的食物 ： 養樂多、</w:t>
      </w:r>
      <w:proofErr w:type="gramStart"/>
      <w:r>
        <w:rPr>
          <w:rFonts w:ascii="微軟正黑體" w:eastAsia="微軟正黑體" w:hAnsi="微軟正黑體" w:cs="細明體"/>
          <w:sz w:val="22"/>
        </w:rPr>
        <w:t>健素糖、表飛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鳴、優酪乳、麵包、饅頭、蛋糕、布丁、乳酪、醋 </w:t>
      </w:r>
    </w:p>
    <w:p w:rsidR="00B237D6" w:rsidRDefault="00390FCC">
      <w:pPr>
        <w:pStyle w:val="ad"/>
        <w:widowControl/>
        <w:numPr>
          <w:ilvl w:val="0"/>
          <w:numId w:val="3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含人工食品添加物(如人工色素、防腐劑、抗氧化劑、香料…等) ：市售飲料(汽水、果汁、茶…等)、醬菜、各種罐頭食品、零嘴(糖果、餅乾、蜜餞…等)、泡麵…等 </w:t>
      </w:r>
    </w:p>
    <w:p w:rsidR="00B237D6" w:rsidRDefault="00390FCC">
      <w:pPr>
        <w:pStyle w:val="ad"/>
        <w:widowControl/>
        <w:numPr>
          <w:ilvl w:val="0"/>
          <w:numId w:val="3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堅果類食品 ： 花生、核桃、腰果、杏仁、胡桃 </w:t>
      </w:r>
    </w:p>
    <w:p w:rsidR="00B237D6" w:rsidRDefault="00390FCC">
      <w:pPr>
        <w:pStyle w:val="ad"/>
        <w:widowControl/>
        <w:numPr>
          <w:ilvl w:val="0"/>
          <w:numId w:val="3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含咖啡因者 ： 巧克力、咖啡、可樂、茶、可可 </w:t>
      </w:r>
    </w:p>
    <w:p w:rsidR="00B237D6" w:rsidRDefault="00390FCC">
      <w:pPr>
        <w:pStyle w:val="ad"/>
        <w:widowControl/>
        <w:numPr>
          <w:ilvl w:val="0"/>
          <w:numId w:val="3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某些水果 ： 芒果、草莓、蕃茄 </w:t>
      </w:r>
    </w:p>
    <w:p w:rsidR="00B237D6" w:rsidRDefault="00390FCC">
      <w:pPr>
        <w:pStyle w:val="ad"/>
        <w:widowControl/>
        <w:numPr>
          <w:ilvl w:val="0"/>
          <w:numId w:val="3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含酒精的飲料或菜餚 ： 所有酒類 </w:t>
      </w:r>
    </w:p>
    <w:p w:rsidR="00B237D6" w:rsidRDefault="00390FCC">
      <w:pPr>
        <w:pStyle w:val="ad"/>
        <w:widowControl/>
        <w:numPr>
          <w:ilvl w:val="0"/>
          <w:numId w:val="3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其它 ： 蛋、牛奶、香菇、竹筍、殘留農藥的青菜 </w:t>
      </w:r>
    </w:p>
    <w:p w:rsidR="00B237D6" w:rsidRDefault="00390FCC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藥物：所有藥品、維它命及健康食品皆有可能，較常見者如一些消炎藥物(如阿斯匹靈)、抗生素…等。</w:t>
      </w:r>
    </w:p>
    <w:p w:rsidR="00B237D6" w:rsidRDefault="00390FCC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感染：</w:t>
      </w:r>
    </w:p>
    <w:p w:rsidR="00B237D6" w:rsidRDefault="00390FCC">
      <w:pPr>
        <w:pStyle w:val="ad"/>
        <w:widowControl/>
        <w:numPr>
          <w:ilvl w:val="0"/>
          <w:numId w:val="4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細菌性：牙齒疾病(如蛀牙、牙周病)、鼻竇炎、尿路發炎…等。</w:t>
      </w:r>
    </w:p>
    <w:p w:rsidR="00B237D6" w:rsidRDefault="00390FCC">
      <w:pPr>
        <w:pStyle w:val="ad"/>
        <w:widowControl/>
        <w:numPr>
          <w:ilvl w:val="0"/>
          <w:numId w:val="4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lastRenderedPageBreak/>
        <w:t>黴菌性：如念珠</w:t>
      </w:r>
      <w:proofErr w:type="gramStart"/>
      <w:r>
        <w:rPr>
          <w:rFonts w:ascii="微軟正黑體" w:eastAsia="微軟正黑體" w:hAnsi="微軟正黑體" w:cs="細明體"/>
          <w:sz w:val="22"/>
        </w:rPr>
        <w:t>菌</w:t>
      </w:r>
      <w:proofErr w:type="gramEnd"/>
      <w:r>
        <w:rPr>
          <w:rFonts w:ascii="微軟正黑體" w:eastAsia="微軟正黑體" w:hAnsi="微軟正黑體" w:cs="細明體"/>
          <w:sz w:val="22"/>
        </w:rPr>
        <w:t>感染、足癬(香港腳)、甲癬(灰趾甲) …等。</w:t>
      </w:r>
    </w:p>
    <w:p w:rsidR="00B237D6" w:rsidRDefault="00390FCC">
      <w:pPr>
        <w:pStyle w:val="ad"/>
        <w:widowControl/>
        <w:numPr>
          <w:ilvl w:val="0"/>
          <w:numId w:val="4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病毒性：如B型肝炎、某些濾過性病毒引起之感冒…等。</w:t>
      </w:r>
    </w:p>
    <w:p w:rsidR="00B237D6" w:rsidRDefault="00390FCC">
      <w:pPr>
        <w:pStyle w:val="ad"/>
        <w:widowControl/>
        <w:numPr>
          <w:ilvl w:val="0"/>
          <w:numId w:val="4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寄生蟲感染：如滴蟲感染、腸道寄生蟲…等。</w:t>
      </w:r>
    </w:p>
    <w:p w:rsidR="00B237D6" w:rsidRDefault="00390FCC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吸入性過敏原：如花粉、黴菌孢子、粉塵、動物毛髮、小蟲的分泌物或</w:t>
      </w:r>
      <w:proofErr w:type="gramStart"/>
      <w:r>
        <w:rPr>
          <w:rFonts w:ascii="微軟正黑體" w:eastAsia="微軟正黑體" w:hAnsi="微軟正黑體" w:cs="細明體"/>
          <w:sz w:val="22"/>
        </w:rPr>
        <w:t>排屑物之</w:t>
      </w:r>
      <w:proofErr w:type="gramEnd"/>
      <w:r>
        <w:rPr>
          <w:rFonts w:ascii="微軟正黑體" w:eastAsia="微軟正黑體" w:hAnsi="微軟正黑體" w:cs="細明體"/>
          <w:sz w:val="22"/>
        </w:rPr>
        <w:t>微粒…等</w:t>
      </w:r>
    </w:p>
    <w:p w:rsidR="00B237D6" w:rsidRDefault="00390FCC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內分泌：如甲狀腺功能異常、荷爾蒙(某些女性之蕁麻疹發作與生理周期有關)。</w:t>
      </w:r>
    </w:p>
    <w:p w:rsidR="00B237D6" w:rsidRDefault="00390FCC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物理性因素：</w:t>
      </w:r>
      <w:proofErr w:type="gramStart"/>
      <w:r>
        <w:rPr>
          <w:rFonts w:ascii="微軟正黑體" w:eastAsia="微軟正黑體" w:hAnsi="微軟正黑體" w:cs="細明體"/>
          <w:sz w:val="22"/>
        </w:rPr>
        <w:t>導至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物理性蕁麻疹，如搔抓、壓力、陽光、冷、熱、運動、水等因素。 </w:t>
      </w:r>
    </w:p>
    <w:p w:rsidR="00B237D6" w:rsidRDefault="00B237D6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</w:p>
    <w:p w:rsidR="00B237D6" w:rsidRDefault="00390FCC">
      <w:pPr>
        <w:widowControl/>
        <w:spacing w:before="120" w:line="280" w:lineRule="exact"/>
        <w:rPr>
          <w:rFonts w:ascii="微軟正黑體" w:eastAsia="微軟正黑體" w:hAnsi="微軟正黑體" w:cs="細明體"/>
          <w:b/>
          <w:sz w:val="22"/>
          <w:u w:val="single"/>
        </w:rPr>
      </w:pPr>
      <w:r>
        <w:rPr>
          <w:rFonts w:ascii="微軟正黑體" w:eastAsia="微軟正黑體" w:hAnsi="微軟正黑體" w:cs="細明體"/>
          <w:b/>
          <w:u w:val="single"/>
        </w:rPr>
        <w:t>如何避免接觸過敏原：</w:t>
      </w:r>
      <w:r>
        <w:rPr>
          <w:rFonts w:ascii="微軟正黑體" w:eastAsia="微軟正黑體" w:hAnsi="微軟正黑體" w:cs="細明體"/>
          <w:b/>
          <w:sz w:val="22"/>
          <w:u w:val="single"/>
        </w:rPr>
        <w:t xml:space="preserve"> </w:t>
      </w:r>
    </w:p>
    <w:p w:rsidR="00B237D6" w:rsidRDefault="00390FCC">
      <w:pPr>
        <w:pStyle w:val="ad"/>
        <w:widowControl/>
        <w:numPr>
          <w:ilvl w:val="0"/>
          <w:numId w:val="8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慢性患者應記錄飲食日記</w:t>
      </w:r>
      <w:proofErr w:type="gramStart"/>
      <w:r>
        <w:rPr>
          <w:rFonts w:ascii="微軟正黑體" w:eastAsia="微軟正黑體" w:hAnsi="微軟正黑體" w:cs="細明體"/>
          <w:sz w:val="22"/>
        </w:rPr>
        <w:t>及膨疹</w:t>
      </w:r>
      <w:proofErr w:type="gramEnd"/>
      <w:r>
        <w:rPr>
          <w:rFonts w:ascii="微軟正黑體" w:eastAsia="微軟正黑體" w:hAnsi="微軟正黑體" w:cs="細明體"/>
          <w:sz w:val="22"/>
        </w:rPr>
        <w:t>發生的時間、程度，以找出可能的食物過敏原(飲食日記應包括食物、茶水飲料、藥物、健康食品及補品、零嘴…等) 。</w:t>
      </w:r>
    </w:p>
    <w:p w:rsidR="00B237D6" w:rsidRDefault="00390FCC">
      <w:pPr>
        <w:pStyle w:val="ad"/>
        <w:widowControl/>
        <w:numPr>
          <w:ilvl w:val="0"/>
          <w:numId w:val="8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對曾經因服藥而引起蕁麻疹的患者，應請教醫師，將可疑藥物名稱記下，看病時先告知醫師可能會過敏的藥物。</w:t>
      </w:r>
    </w:p>
    <w:p w:rsidR="00B237D6" w:rsidRDefault="00390FCC">
      <w:pPr>
        <w:pStyle w:val="ad"/>
        <w:widowControl/>
        <w:numPr>
          <w:ilvl w:val="0"/>
          <w:numId w:val="8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慢性患者若有其它身體不適(如蛀牙、鼻竇炎、尿道炎、腸胃不適)，應儘速就醫治療，以避免感染性過敏原長期在體內作遂。</w:t>
      </w:r>
    </w:p>
    <w:p w:rsidR="00B237D6" w:rsidRDefault="00390FCC">
      <w:pPr>
        <w:pStyle w:val="ad"/>
        <w:widowControl/>
        <w:numPr>
          <w:ilvl w:val="0"/>
          <w:numId w:val="8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避免到灰塵和煙霧多的地方；對羽毛過敏者，不可飼養小動物；對花粉過敏者，不要插花、</w:t>
      </w:r>
      <w:proofErr w:type="gramStart"/>
      <w:r>
        <w:rPr>
          <w:rFonts w:ascii="微軟正黑體" w:eastAsia="微軟正黑體" w:hAnsi="微軟正黑體" w:cs="細明體"/>
          <w:sz w:val="22"/>
        </w:rPr>
        <w:t>栽花</w:t>
      </w:r>
      <w:proofErr w:type="gramEnd"/>
      <w:r>
        <w:rPr>
          <w:rFonts w:ascii="微軟正黑體" w:eastAsia="微軟正黑體" w:hAnsi="微軟正黑體" w:cs="細明體"/>
          <w:sz w:val="22"/>
        </w:rPr>
        <w:t>。家中最好不要鋪地毯；並隨時保持空氣流通。</w:t>
      </w:r>
    </w:p>
    <w:p w:rsidR="00B237D6" w:rsidRDefault="00390FCC">
      <w:pPr>
        <w:pStyle w:val="ad"/>
        <w:widowControl/>
        <w:numPr>
          <w:ilvl w:val="0"/>
          <w:numId w:val="8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物理性蕁麻疹的患者應避免引發之物理性因素即可。 </w:t>
      </w:r>
    </w:p>
    <w:p w:rsidR="00B237D6" w:rsidRDefault="00B237D6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</w:p>
    <w:p w:rsidR="00B237D6" w:rsidRDefault="00390FCC">
      <w:pPr>
        <w:widowControl/>
        <w:spacing w:before="120" w:line="280" w:lineRule="exact"/>
        <w:rPr>
          <w:rFonts w:ascii="微軟正黑體" w:eastAsia="微軟正黑體" w:hAnsi="微軟正黑體" w:cs="細明體"/>
          <w:b/>
          <w:sz w:val="22"/>
          <w:u w:val="single"/>
        </w:rPr>
      </w:pPr>
      <w:r>
        <w:rPr>
          <w:rFonts w:ascii="微軟正黑體" w:eastAsia="微軟正黑體" w:hAnsi="微軟正黑體" w:cs="細明體"/>
          <w:b/>
          <w:sz w:val="22"/>
          <w:u w:val="single"/>
        </w:rPr>
        <w:t xml:space="preserve">蕁麻疹應注意的其它護理工作： </w:t>
      </w:r>
    </w:p>
    <w:p w:rsidR="00B237D6" w:rsidRDefault="00390FCC">
      <w:pPr>
        <w:pStyle w:val="ad"/>
        <w:widowControl/>
        <w:numPr>
          <w:ilvl w:val="0"/>
          <w:numId w:val="5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沐浴方面</w:t>
      </w:r>
    </w:p>
    <w:p w:rsidR="00B237D6" w:rsidRDefault="00390FCC">
      <w:pPr>
        <w:pStyle w:val="ad"/>
        <w:widowControl/>
        <w:numPr>
          <w:ilvl w:val="0"/>
          <w:numId w:val="6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可以使用肥皂或沐浴乳。</w:t>
      </w:r>
    </w:p>
    <w:p w:rsidR="00B237D6" w:rsidRDefault="00390FCC">
      <w:pPr>
        <w:pStyle w:val="ad"/>
        <w:widowControl/>
        <w:numPr>
          <w:ilvl w:val="0"/>
          <w:numId w:val="6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sz w:val="22"/>
        </w:rPr>
        <w:t>儘量少洗熱水</w:t>
      </w:r>
      <w:proofErr w:type="gramEnd"/>
      <w:r>
        <w:rPr>
          <w:rFonts w:ascii="微軟正黑體" w:eastAsia="微軟正黑體" w:hAnsi="微軟正黑體" w:cs="細明體"/>
          <w:sz w:val="22"/>
        </w:rPr>
        <w:t>，熱水易使血管擴張，而</w:t>
      </w:r>
      <w:proofErr w:type="gramStart"/>
      <w:r>
        <w:rPr>
          <w:rFonts w:ascii="微軟正黑體" w:eastAsia="微軟正黑體" w:hAnsi="微軟正黑體" w:cs="細明體"/>
          <w:sz w:val="22"/>
        </w:rPr>
        <w:t>使膨疹更</w:t>
      </w:r>
      <w:proofErr w:type="gramEnd"/>
      <w:r>
        <w:rPr>
          <w:rFonts w:ascii="微軟正黑體" w:eastAsia="微軟正黑體" w:hAnsi="微軟正黑體" w:cs="細明體"/>
          <w:sz w:val="22"/>
        </w:rPr>
        <w:t>厲害。</w:t>
      </w:r>
    </w:p>
    <w:p w:rsidR="00B237D6" w:rsidRDefault="00390FCC">
      <w:pPr>
        <w:pStyle w:val="ad"/>
        <w:widowControl/>
        <w:numPr>
          <w:ilvl w:val="0"/>
          <w:numId w:val="5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止癢方面</w:t>
      </w:r>
    </w:p>
    <w:p w:rsidR="00B237D6" w:rsidRDefault="00390FCC">
      <w:pPr>
        <w:pStyle w:val="ad"/>
        <w:widowControl/>
        <w:numPr>
          <w:ilvl w:val="0"/>
          <w:numId w:val="7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按醫師指示，局部使用冷敷或止癢藥膏。</w:t>
      </w:r>
    </w:p>
    <w:p w:rsidR="00B237D6" w:rsidRDefault="00390FCC">
      <w:pPr>
        <w:pStyle w:val="ad"/>
        <w:widowControl/>
        <w:numPr>
          <w:ilvl w:val="0"/>
          <w:numId w:val="7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剪短指甲，避免對局部搔抓，而造成皮膚損傷。 </w:t>
      </w:r>
    </w:p>
    <w:p w:rsidR="00B237D6" w:rsidRDefault="00B237D6">
      <w:pPr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</w:p>
    <w:p w:rsidR="00B237D6" w:rsidRDefault="00B237D6">
      <w:pPr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</w:p>
    <w:p w:rsidR="00B237D6" w:rsidRDefault="00390FCC">
      <w:pPr>
        <w:pStyle w:val="ad"/>
        <w:numPr>
          <w:ilvl w:val="0"/>
          <w:numId w:val="1"/>
        </w:numPr>
        <w:spacing w:before="120" w:line="280" w:lineRule="exact"/>
        <w:ind w:left="402" w:hanging="402"/>
        <w:jc w:val="right"/>
      </w:pPr>
      <w:r>
        <w:rPr>
          <w:rFonts w:ascii="新細明體" w:hAnsi="新細明體" w:cs="細明體"/>
          <w:color w:val="2254A6" w:themeColor="accent1"/>
          <w:sz w:val="20"/>
          <w:szCs w:val="20"/>
        </w:rPr>
        <w:t>新竹馬偕紀念醫院，關心您的健康。</w:t>
      </w:r>
    </w:p>
    <w:sectPr w:rsidR="00B237D6" w:rsidSect="00B237D6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CC" w:rsidRDefault="00390FCC" w:rsidP="00B237D6">
      <w:r>
        <w:separator/>
      </w:r>
    </w:p>
  </w:endnote>
  <w:endnote w:type="continuationSeparator" w:id="0">
    <w:p w:rsidR="00390FCC" w:rsidRDefault="00390FCC" w:rsidP="00B23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D6" w:rsidRDefault="00390FCC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非傳染性皮膚疾病：蕁麻疹</w:t>
    </w:r>
    <w:r w:rsidR="000658BE" w:rsidRPr="000658BE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2254a6" stroked="f" strokecolor="#3465a4">
          <v:fill color2="#ddab59" o:detectmouseclick="t"/>
          <v:stroke joinstyle="round"/>
        </v:rect>
      </w:pict>
    </w:r>
    <w:r w:rsidR="000658BE" w:rsidRPr="000658BE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B237D6" w:rsidRDefault="000658BE">
                <w:pPr>
                  <w:pStyle w:val="Footer"/>
                  <w:jc w:val="right"/>
                </w:pPr>
                <w:r w:rsidRPr="000658BE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390FCC">
                  <w:instrText>PAGE \* ARABIC</w:instrText>
                </w:r>
                <w:r>
                  <w:fldChar w:fldCharType="separate"/>
                </w:r>
                <w:r w:rsidR="00C5524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CC" w:rsidRDefault="00390FCC" w:rsidP="00B237D6">
      <w:r>
        <w:separator/>
      </w:r>
    </w:p>
  </w:footnote>
  <w:footnote w:type="continuationSeparator" w:id="0">
    <w:p w:rsidR="00390FCC" w:rsidRDefault="00390FCC" w:rsidP="00B23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3C3D"/>
    <w:multiLevelType w:val="multilevel"/>
    <w:tmpl w:val="79808C3C"/>
    <w:lvl w:ilvl="0">
      <w:start w:val="1"/>
      <w:numFmt w:val="bullet"/>
      <w:lvlText w:val=""/>
      <w:lvlJc w:val="left"/>
      <w:pPr>
        <w:ind w:left="92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760" w:hanging="480"/>
      </w:pPr>
      <w:rPr>
        <w:rFonts w:ascii="Wingdings" w:hAnsi="Wingdings" w:cs="Wingdings" w:hint="default"/>
      </w:rPr>
    </w:lvl>
  </w:abstractNum>
  <w:abstractNum w:abstractNumId="1">
    <w:nsid w:val="260B2DEE"/>
    <w:multiLevelType w:val="multilevel"/>
    <w:tmpl w:val="7AF0C27E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hAnsi="微軟正黑體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1B2A86"/>
    <w:multiLevelType w:val="multilevel"/>
    <w:tmpl w:val="3306F24A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hAnsi="微軟正黑體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EA09A8"/>
    <w:multiLevelType w:val="multilevel"/>
    <w:tmpl w:val="351271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0D46DAB"/>
    <w:multiLevelType w:val="multilevel"/>
    <w:tmpl w:val="2B3E6E2C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hAnsi="微軟正黑體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EA2A0D"/>
    <w:multiLevelType w:val="multilevel"/>
    <w:tmpl w:val="D5025128"/>
    <w:lvl w:ilvl="0">
      <w:start w:val="1"/>
      <w:numFmt w:val="bullet"/>
      <w:lvlText w:val=""/>
      <w:lvlJc w:val="left"/>
      <w:pPr>
        <w:ind w:left="92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760" w:hanging="480"/>
      </w:pPr>
      <w:rPr>
        <w:rFonts w:ascii="Wingdings" w:hAnsi="Wingdings" w:cs="Wingdings" w:hint="default"/>
      </w:rPr>
    </w:lvl>
  </w:abstractNum>
  <w:abstractNum w:abstractNumId="6">
    <w:nsid w:val="72AC126F"/>
    <w:multiLevelType w:val="multilevel"/>
    <w:tmpl w:val="E62012B4"/>
    <w:lvl w:ilvl="0">
      <w:start w:val="1"/>
      <w:numFmt w:val="bullet"/>
      <w:lvlText w:val=""/>
      <w:lvlJc w:val="left"/>
      <w:pPr>
        <w:ind w:left="92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760" w:hanging="480"/>
      </w:pPr>
      <w:rPr>
        <w:rFonts w:ascii="Wingdings" w:hAnsi="Wingdings" w:cs="Wingdings" w:hint="default"/>
      </w:rPr>
    </w:lvl>
  </w:abstractNum>
  <w:abstractNum w:abstractNumId="7">
    <w:nsid w:val="76EE6741"/>
    <w:multiLevelType w:val="multilevel"/>
    <w:tmpl w:val="FDB25138"/>
    <w:lvl w:ilvl="0">
      <w:start w:val="1"/>
      <w:numFmt w:val="bullet"/>
      <w:lvlText w:val=""/>
      <w:lvlJc w:val="left"/>
      <w:pPr>
        <w:ind w:left="92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760" w:hanging="480"/>
      </w:pPr>
      <w:rPr>
        <w:rFonts w:ascii="Wingdings" w:hAnsi="Wingdings" w:cs="Wingdings" w:hint="default"/>
      </w:rPr>
    </w:lvl>
  </w:abstractNum>
  <w:abstractNum w:abstractNumId="8">
    <w:nsid w:val="7E682FF8"/>
    <w:multiLevelType w:val="multilevel"/>
    <w:tmpl w:val="6BCE27E2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237D6"/>
    <w:rsid w:val="000658BE"/>
    <w:rsid w:val="00390FCC"/>
    <w:rsid w:val="007E6872"/>
    <w:rsid w:val="00B237D6"/>
    <w:rsid w:val="00C5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2254A6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2254A6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3286D2" w:themeColor="hyperlink"/>
      <w:u w:val="single"/>
    </w:rPr>
  </w:style>
  <w:style w:type="character" w:customStyle="1" w:styleId="ListLabel1">
    <w:name w:val="ListLabel 1"/>
    <w:qFormat/>
    <w:rsid w:val="00B237D6"/>
    <w:rPr>
      <w:rFonts w:eastAsia="新細明體"/>
      <w:b w:val="0"/>
      <w:i w:val="0"/>
    </w:rPr>
  </w:style>
  <w:style w:type="character" w:customStyle="1" w:styleId="ListLabel2">
    <w:name w:val="ListLabel 2"/>
    <w:qFormat/>
    <w:rsid w:val="00B237D6"/>
    <w:rPr>
      <w:b w:val="0"/>
      <w:i w:val="0"/>
    </w:rPr>
  </w:style>
  <w:style w:type="character" w:customStyle="1" w:styleId="ListLabel3">
    <w:name w:val="ListLabel 3"/>
    <w:qFormat/>
    <w:rsid w:val="00B237D6"/>
    <w:rPr>
      <w:b w:val="0"/>
      <w:i w:val="0"/>
    </w:rPr>
  </w:style>
  <w:style w:type="character" w:customStyle="1" w:styleId="ListLabel4">
    <w:name w:val="ListLabel 4"/>
    <w:qFormat/>
    <w:rsid w:val="00B237D6"/>
    <w:rPr>
      <w:rFonts w:eastAsia="微軟正黑體" w:cs="細明體"/>
    </w:rPr>
  </w:style>
  <w:style w:type="character" w:customStyle="1" w:styleId="ListLabel5">
    <w:name w:val="ListLabel 5"/>
    <w:qFormat/>
    <w:rsid w:val="00B237D6"/>
    <w:rPr>
      <w:rFonts w:eastAsia="微軟正黑體" w:cs="細明體"/>
    </w:rPr>
  </w:style>
  <w:style w:type="character" w:customStyle="1" w:styleId="ListLabel6">
    <w:name w:val="ListLabel 6"/>
    <w:qFormat/>
    <w:rsid w:val="00B237D6"/>
    <w:rPr>
      <w:rFonts w:eastAsia="微軟正黑體" w:cs="細明體"/>
    </w:rPr>
  </w:style>
  <w:style w:type="character" w:customStyle="1" w:styleId="ListLabel7">
    <w:name w:val="ListLabel 7"/>
    <w:qFormat/>
    <w:rsid w:val="00B237D6"/>
    <w:rPr>
      <w:rFonts w:eastAsia="微軟正黑體" w:cs="細明體"/>
    </w:rPr>
  </w:style>
  <w:style w:type="character" w:customStyle="1" w:styleId="ListLabel8">
    <w:name w:val="ListLabel 8"/>
    <w:qFormat/>
    <w:rsid w:val="00B237D6"/>
    <w:rPr>
      <w:rFonts w:ascii="微軟正黑體" w:hAnsi="微軟正黑體"/>
      <w:b w:val="0"/>
      <w:i w:val="0"/>
      <w:sz w:val="22"/>
    </w:rPr>
  </w:style>
  <w:style w:type="character" w:customStyle="1" w:styleId="ListLabel9">
    <w:name w:val="ListLabel 9"/>
    <w:qFormat/>
    <w:rsid w:val="00B237D6"/>
    <w:rPr>
      <w:b w:val="0"/>
      <w:i w:val="0"/>
    </w:rPr>
  </w:style>
  <w:style w:type="character" w:customStyle="1" w:styleId="ListLabel10">
    <w:name w:val="ListLabel 10"/>
    <w:qFormat/>
    <w:rsid w:val="00B237D6"/>
    <w:rPr>
      <w:b w:val="0"/>
      <w:i w:val="0"/>
    </w:rPr>
  </w:style>
  <w:style w:type="character" w:customStyle="1" w:styleId="ListLabel11">
    <w:name w:val="ListLabel 11"/>
    <w:qFormat/>
    <w:rsid w:val="00B237D6"/>
    <w:rPr>
      <w:rFonts w:ascii="微軟正黑體" w:hAnsi="微軟正黑體"/>
      <w:b w:val="0"/>
      <w:i w:val="0"/>
      <w:sz w:val="22"/>
    </w:rPr>
  </w:style>
  <w:style w:type="character" w:customStyle="1" w:styleId="ListLabel12">
    <w:name w:val="ListLabel 12"/>
    <w:qFormat/>
    <w:rsid w:val="00B237D6"/>
    <w:rPr>
      <w:rFonts w:ascii="微軟正黑體" w:hAnsi="微軟正黑體"/>
      <w:b w:val="0"/>
      <w:i w:val="0"/>
      <w:sz w:val="22"/>
    </w:rPr>
  </w:style>
  <w:style w:type="paragraph" w:styleId="a8">
    <w:name w:val="Title"/>
    <w:basedOn w:val="a"/>
    <w:next w:val="a9"/>
    <w:qFormat/>
    <w:rsid w:val="00B237D6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B237D6"/>
    <w:pPr>
      <w:spacing w:after="140" w:line="288" w:lineRule="auto"/>
    </w:pPr>
  </w:style>
  <w:style w:type="paragraph" w:styleId="aa">
    <w:name w:val="List"/>
    <w:basedOn w:val="a9"/>
    <w:rsid w:val="00B237D6"/>
    <w:rPr>
      <w:rFonts w:cs="Mangal"/>
    </w:rPr>
  </w:style>
  <w:style w:type="paragraph" w:customStyle="1" w:styleId="Caption">
    <w:name w:val="Caption"/>
    <w:basedOn w:val="a"/>
    <w:qFormat/>
    <w:rsid w:val="00B237D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B237D6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2254A6"/>
      </w:pBdr>
      <w:spacing w:after="180" w:line="264" w:lineRule="auto"/>
      <w:jc w:val="right"/>
    </w:pPr>
    <w:rPr>
      <w:color w:val="123452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B237D6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7E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7E6872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7E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7E68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Tailored">
      <a:dk1>
        <a:sysClr val="windowText" lastClr="000000"/>
      </a:dk1>
      <a:lt1>
        <a:sysClr val="window" lastClr="FFFFFF"/>
      </a:lt1>
      <a:dk2>
        <a:srgbClr val="123452"/>
      </a:dk2>
      <a:lt2>
        <a:srgbClr val="E0EDF8"/>
      </a:lt2>
      <a:accent1>
        <a:srgbClr val="2254A6"/>
      </a:accent1>
      <a:accent2>
        <a:srgbClr val="9B6261"/>
      </a:accent2>
      <a:accent3>
        <a:srgbClr val="939070"/>
      </a:accent3>
      <a:accent4>
        <a:srgbClr val="60254D"/>
      </a:accent4>
      <a:accent5>
        <a:srgbClr val="9FC6E9"/>
      </a:accent5>
      <a:accent6>
        <a:srgbClr val="8BA7B3"/>
      </a:accent6>
      <a:hlink>
        <a:srgbClr val="3286D2"/>
      </a:hlink>
      <a:folHlink>
        <a:srgbClr val="D99BB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4B48-2A18-46B2-852C-D5B92020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223</Words>
  <Characters>1276</Characters>
  <Application>Microsoft Office Word</Application>
  <DocSecurity>0</DocSecurity>
  <Lines>10</Lines>
  <Paragraphs>2</Paragraphs>
  <ScaleCrop>false</ScaleCrop>
  <Company>mmh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8</cp:revision>
  <cp:lastPrinted>2011-12-09T09:27:00Z</cp:lastPrinted>
  <dcterms:created xsi:type="dcterms:W3CDTF">2011-12-09T09:29:00Z</dcterms:created>
  <dcterms:modified xsi:type="dcterms:W3CDTF">2021-05-24T08:05:00Z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